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1.1.0 -->
  <w:body>
    <w:tbl>
      <w:tblPr>
        <w:tblW w:w="5000" w:type="pct"/>
        <w:tblCellMar>
          <w:left w:w="108" w:type="dxa"/>
          <w:right w:w="108" w:type="dxa"/>
        </w:tblCellMar>
      </w:tblPr>
      <w:tblGrid>
        <w:gridCol w:w="10440"/>
      </w:tblGrid>
      <w:tr>
        <w:tblPrEx>
          <w:tblW w:w="5000" w:type="pct"/>
          <w:tblCellMar>
            <w:left w:w="108" w:type="dxa"/>
            <w:right w:w="108" w:type="dxa"/>
          </w:tblCellMar>
        </w:tblPrEx>
        <w:tc>
          <w:tcPr/>
          <w:p>
            <w:r>
              <w:drawing>
                <wp:anchor simplePos="0" relativeHeight="251658240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2723810" cy="1038095"/>
                  <wp:wrapTopAndBottom/>
                  <wp:docPr id="100002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2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3810" cy="1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simplePos="0" relativeHeight="251659264" behindDoc="0" locked="0" layoutInCell="1" allowOverlap="1">
                  <wp:simplePos x="0" y="0"/>
                  <wp:positionH relativeFrom="column">
                    <wp:align>right</wp:align>
                  </wp:positionH>
                  <wp:positionV relativeFrom="paragraph">
                    <wp:align>top</wp:align>
                  </wp:positionV>
                  <wp:extent cx="2857899" cy="962159"/>
                  <wp:wrapTopAndBottom/>
                  <wp:docPr id="100004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899" cy="962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/>
          <w:p>
            <w:pPr>
              <w:pStyle w:val="Title"/>
              <w:jc w:val="center"/>
            </w:pPr>
            <w:r>
              <w:t>Годишен доклад за изпълнението</w:t>
            </w:r>
          </w:p>
          <w:p>
            <w:pPr>
              <w:pStyle w:val="Title"/>
              <w:jc w:val="center"/>
            </w:pPr>
            <w:r>
              <w:t>Приложение за мониторинг</w:t>
            </w:r>
          </w:p>
          <w:p>
            <w:pPr>
              <w:pStyle w:val="Title"/>
              <w:jc w:val="center"/>
            </w:pPr>
            <w:r>
              <w:t>Bulgaria - Rural Development Programme (National)</w:t>
            </w:r>
          </w:p>
          <w:p/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/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108" w:type="dxa"/>
                <w:right w:w="108" w:type="dxa"/>
              </w:tblCellMar>
            </w:tblPr>
            <w:tblGrid>
              <w:gridCol w:w="5107"/>
              <w:gridCol w:w="5107"/>
            </w:tblGrid>
            <w:tr>
              <w:tblPrEx>
                <w:tblW w:w="5000" w:type="pct"/>
                <w:tbl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  <w:insideH w:val="single" w:sz="4" w:space="0" w:color="auto"/>
                  <w:insideV w:val="single" w:sz="4" w:space="0" w:color="auto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gridSpan w:val="2"/>
                  <w:shd w:val="clear" w:color="auto" w:fill="C0C0C0"/>
                </w:tcPr>
                <w:p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Годишен доклад за изпълнението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Период</w:t>
                  </w:r>
                </w:p>
              </w:tc>
              <w:tc>
                <w:tcPr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01/01/2022 - 31/12/2022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Версия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2022.0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Статус — настоящ възел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Изпратено - European Commission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Национален референтен номер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Дата на одобряване на комитет за наблюдение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27/06/2023</w:t>
                  </w:r>
                </w:p>
              </w:tc>
            </w:tr>
          </w:tbl>
          <w:p/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/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108" w:type="dxa"/>
                <w:right w:w="108" w:type="dxa"/>
              </w:tblCellMar>
            </w:tblPr>
            <w:tblGrid>
              <w:gridCol w:w="5107"/>
              <w:gridCol w:w="5107"/>
            </w:tblGrid>
            <w:tr>
              <w:tblPrEx>
                <w:tblW w:w="5000" w:type="pct"/>
                <w:tbl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  <w:insideH w:val="single" w:sz="4" w:space="0" w:color="auto"/>
                  <w:insideV w:val="single" w:sz="4" w:space="0" w:color="auto"/>
                </w:tblBorders>
                <w:tblCellMar>
                  <w:left w:w="108" w:type="dxa"/>
                  <w:right w:w="108" w:type="dxa"/>
                </w:tblCellMar>
              </w:tblPrEx>
              <w:tc>
                <w:tcPr>
                  <w:gridSpan w:val="2"/>
                  <w:shd w:val="clear" w:color="auto" w:fill="C0C0C0"/>
                </w:tcPr>
                <w:p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Версия на програмата в сила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CCI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2014BG06RDNP001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Вид на програмата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Програма за развитие на селските райони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Държава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България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Регион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BG - National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Програмен период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2014 - 2022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Версия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15.2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Номер на решението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C(2022)9936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Дата на решението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19/12/2022</w:t>
                  </w:r>
                </w:p>
              </w:tc>
            </w:tr>
            <w:tr>
              <w:tblPrEx>
                <w:tblW w:w="5000" w:type="pct"/>
                <w:tblCellMar>
                  <w:left w:w="108" w:type="dxa"/>
                  <w:right w:w="108" w:type="dxa"/>
                </w:tblCellMar>
              </w:tblPrEx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pStyle w:val="Caption"/>
                    <w:spacing w:before="40" w:after="40"/>
                    <w:jc w:val="center"/>
                  </w:pPr>
                  <w:r>
                    <w:t>Управляващ орган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>
                  <w:pPr>
                    <w:spacing w:before="40" w:after="40"/>
                    <w:jc w:val="center"/>
                  </w:pPr>
                  <w:r>
                    <w:t>Дирекция "Развитие на селските райони" (РСР) в Министерство на земеделието</w:t>
                  </w:r>
                </w:p>
              </w:tc>
            </w:tr>
          </w:tbl>
          <w:p/>
        </w:tc>
      </w:tr>
    </w:tbl>
    <w:p>
      <w:pPr>
        <w:sectPr>
          <w:footerReference w:type="default" r:id="rId7"/>
          <w:headerReference w:type="first" r:id="rId8"/>
          <w:footerReference w:type="first" r:id="rId9"/>
          <w:pgMar w:top="900" w:right="900" w:bottom="900" w:left="900" w:header="720" w:footer="720"/>
          <w:pgNumType w:start="1"/>
          <w:cols w:space="720"/>
          <w:vAlign w:val="both"/>
        </w:sectPr>
      </w:pPr>
    </w:p>
    <w:p>
      <w:pPr>
        <w:jc w:val="center"/>
        <w:rPr>
          <w:b/>
          <w:sz w:val="32"/>
        </w:rPr>
      </w:pPr>
      <w:r>
        <w:rPr>
          <w:b/>
          <w:sz w:val="32"/>
        </w:rPr>
        <w:t>Съдържание</w:t>
      </w:r>
    </w:p>
    <w:p>
      <w:pPr>
        <w:jc w:val="center"/>
        <w:rPr>
          <w:b/>
          <w:sz w:val="32"/>
        </w:rPr>
      </w:pPr>
    </w:p>
    <w:p>
      <w:pPr>
        <w:pStyle w:val="TOC1"/>
        <w:rPr>
          <w:rFonts w:asciiTheme="minorHAnsi" w:hAnsiTheme="minorHAnsi"/>
          <w:noProof/>
          <w:sz w:val="22"/>
        </w:rPr>
      </w:pPr>
      <w:r>
        <w:fldChar w:fldCharType="begin"/>
      </w:r>
      <w:r>
        <w:instrText>TOC \o "1-3" \h \z \u</w:instrText>
      </w:r>
      <w:r>
        <w:fldChar w:fldCharType="separate"/>
      </w:r>
      <w:hyperlink w:anchor="_Toc256000000" w:history="1">
        <w:r>
          <w:rPr>
            <w:rStyle w:val="Hyperlink"/>
          </w:rPr>
          <w:t>1.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Кодиращи таблици за общи и специфични за програмата показатели и количествени целеви стойности</w:t>
        </w:r>
        <w:r>
          <w:tab/>
        </w:r>
        <w:r>
          <w:fldChar w:fldCharType="begin"/>
        </w:r>
        <w:r>
          <w:instrText xml:space="preserve"> PAGEREF _Toc256000000 \h </w:instrText>
        </w:r>
        <w:r>
          <w:fldChar w:fldCharType="separate"/>
        </w:r>
        <w:r>
          <w:t>3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1" w:history="1">
        <w:r>
          <w:rPr>
            <w:rStyle w:val="Hyperlink"/>
          </w:rPr>
          <w:t>1.a)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А: Поети разходни задължения по мерки и акцентирани области — НА ГОДИШНА БАЗА</w:t>
        </w:r>
        <w:r>
          <w:tab/>
        </w:r>
        <w:r>
          <w:fldChar w:fldCharType="begin"/>
        </w:r>
        <w:r>
          <w:instrText xml:space="preserve"> PAGEREF _Toc256000001 \h </w:instrText>
        </w:r>
        <w:r>
          <w:fldChar w:fldCharType="separate"/>
        </w:r>
        <w:r>
          <w:t>3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2" w:history="1">
        <w:r>
          <w:rPr>
            <w:rStyle w:val="Hyperlink"/>
          </w:rPr>
          <w:t>1.b)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Б: Показатели за реализирани резултати по мерки и области с поставен акцент</w:t>
        </w:r>
        <w:r>
          <w:tab/>
        </w:r>
        <w:r>
          <w:fldChar w:fldCharType="begin"/>
        </w:r>
        <w:r>
          <w:instrText xml:space="preserve"> PAGEREF _Toc256000002 \h </w:instrText>
        </w:r>
        <w:r>
          <w:fldChar w:fldCharType="separate"/>
        </w:r>
        <w:r>
          <w:t>10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3" w:history="1">
        <w:r>
          <w:rPr>
            <w:rStyle w:val="Hyperlink"/>
          </w:rPr>
          <w:t>1.c)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В: Разбивка за съответните резултати и мерки по типове области, пол и/или възраст — КУМУЛАТИВНИ ДАННИ</w:t>
        </w:r>
        <w:r>
          <w:tab/>
        </w:r>
        <w:r>
          <w:fldChar w:fldCharType="begin"/>
        </w:r>
        <w:r>
          <w:instrText xml:space="preserve"> PAGEREF _Toc256000003 \h </w:instrText>
        </w:r>
        <w:r>
          <w:fldChar w:fldCharType="separate"/>
        </w:r>
        <w:r>
          <w:t>86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4" w:history="1">
        <w:r>
          <w:rPr>
            <w:rStyle w:val="Hyperlink"/>
          </w:rPr>
          <w:t>1.d)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Г: Напредък към постигане на целите</w:t>
        </w:r>
        <w:r>
          <w:tab/>
        </w:r>
        <w:r>
          <w:fldChar w:fldCharType="begin"/>
        </w:r>
        <w:r>
          <w:instrText xml:space="preserve"> PAGEREF _Toc256000004 \h </w:instrText>
        </w:r>
        <w:r>
          <w:fldChar w:fldCharType="separate"/>
        </w:r>
        <w:r>
          <w:t>118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5" w:history="1">
        <w:r>
          <w:rPr>
            <w:rStyle w:val="Hyperlink"/>
          </w:rPr>
          <w:t>1.e)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Д: Мониторинг на преходните мерки — ГОДИШНИ ДАННИ</w:t>
        </w:r>
        <w:r>
          <w:tab/>
        </w:r>
        <w:r>
          <w:fldChar w:fldCharType="begin"/>
        </w:r>
        <w:r>
          <w:instrText xml:space="preserve"> PAGEREF _Toc256000005 \h </w:instrText>
        </w:r>
        <w:r>
          <w:fldChar w:fldCharType="separate"/>
        </w:r>
        <w:r>
          <w:t>122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6" w:history="1">
        <w:r>
          <w:rPr>
            <w:rStyle w:val="Hyperlink"/>
          </w:rPr>
          <w:t>1.f)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Е: Постигане на показателите от рамката на изпълнението</w:t>
        </w:r>
        <w:r>
          <w:tab/>
        </w:r>
        <w:r>
          <w:fldChar w:fldCharType="begin"/>
        </w:r>
        <w:r>
          <w:instrText xml:space="preserve"> PAGEREF _Toc256000006 \h </w:instrText>
        </w:r>
        <w:r>
          <w:fldChar w:fldCharType="separate"/>
        </w:r>
        <w:r>
          <w:t>124</w:t>
        </w:r>
        <w:r>
          <w:fldChar w:fldCharType="end"/>
        </w:r>
      </w:hyperlink>
    </w:p>
    <w:p>
      <w:pPr>
        <w:pStyle w:val="TOC2"/>
        <w:rPr>
          <w:rFonts w:asciiTheme="minorHAnsi" w:hAnsiTheme="minorHAnsi"/>
          <w:noProof/>
          <w:sz w:val="22"/>
        </w:rPr>
      </w:pPr>
      <w:hyperlink w:anchor="_Toc256000007" w:history="1">
        <w:r>
          <w:rPr>
            <w:rStyle w:val="Hyperlink"/>
          </w:rPr>
          <w:t>1.g)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Таблица Ж: Специфични за програмата показатели</w:t>
        </w:r>
        <w:r>
          <w:tab/>
        </w:r>
        <w:r>
          <w:fldChar w:fldCharType="begin"/>
        </w:r>
        <w:r>
          <w:instrText xml:space="preserve"> PAGEREF _Toc256000007 \h </w:instrText>
        </w:r>
        <w:r>
          <w:fldChar w:fldCharType="separate"/>
        </w:r>
        <w:r>
          <w:t>128</w:t>
        </w:r>
        <w:r>
          <w:fldChar w:fldCharType="end"/>
        </w:r>
      </w:hyperlink>
    </w:p>
    <w:p>
      <w:pPr>
        <w:pStyle w:val="TOC1"/>
        <w:rPr>
          <w:rFonts w:asciiTheme="minorHAnsi" w:hAnsiTheme="minorHAnsi"/>
          <w:noProof/>
          <w:sz w:val="22"/>
        </w:rPr>
      </w:pPr>
      <w:hyperlink w:anchor="_Toc256000008" w:history="1">
        <w:r>
          <w:rPr>
            <w:rStyle w:val="Hyperlink"/>
          </w:rPr>
          <w:t>2.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>Легенда</w:t>
        </w:r>
        <w:r>
          <w:tab/>
        </w:r>
        <w:r>
          <w:fldChar w:fldCharType="begin"/>
        </w:r>
        <w:r>
          <w:instrText xml:space="preserve"> PAGEREF _Toc256000008 \h </w:instrText>
        </w:r>
        <w:r>
          <w:fldChar w:fldCharType="separate"/>
        </w:r>
        <w:r>
          <w:t>131</w:t>
        </w:r>
        <w:r>
          <w:fldChar w:fldCharType="end"/>
        </w:r>
      </w:hyperlink>
    </w:p>
    <w:p>
      <w:pPr>
        <w:sectPr>
          <w:pgMar w:top="900" w:right="900" w:bottom="900" w:left="900" w:header="720" w:footer="720"/>
          <w:cols w:space="720"/>
        </w:sectPr>
      </w:pPr>
      <w:r>
        <w:fldChar w:fldCharType="end"/>
      </w:r>
    </w:p>
    <w:p>
      <w:pPr>
        <w:rPr>
          <w:sz w:val="28"/>
        </w:rPr>
      </w:pPr>
      <w:r>
        <w:rPr>
          <w:sz w:val="28"/>
        </w:rPr>
        <w:t>РАЗДЕЛ 11</w:t>
      </w:r>
    </w:p>
    <w:p>
      <w:pPr>
        <w:pStyle w:val="Heading1"/>
        <w:rPr>
          <w:sz w:val="28"/>
        </w:rPr>
      </w:pPr>
      <w:bookmarkStart w:id="0" w:name="_Toc256000000"/>
      <w:r>
        <w:rPr>
          <w:sz w:val="28"/>
        </w:rPr>
        <w:t>Кодиращи таблици за общи и специфични за програмата показатели и количествени целеви стойности</w:t>
      </w:r>
      <w:bookmarkEnd w:id="0"/>
    </w:p>
    <w:p>
      <w:pPr>
        <w:pStyle w:val="Heading2"/>
        <w:rPr>
          <w:sz w:val="28"/>
        </w:rPr>
      </w:pPr>
      <w:bookmarkStart w:id="1" w:name="_Toc256000001"/>
      <w:r>
        <w:rPr>
          <w:sz w:val="28"/>
        </w:rPr>
        <w:t>Таблица А: Поети разходни задължения по мерки и акцентирани области — НА ГОДИШНА БАЗА</w:t>
      </w:r>
      <w:bookmarkEnd w:id="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049"/>
        <w:gridCol w:w="1186"/>
        <w:gridCol w:w="1912"/>
        <w:gridCol w:w="1703"/>
        <w:gridCol w:w="1220"/>
        <w:gridCol w:w="1145"/>
        <w:gridCol w:w="1177"/>
        <w:gridCol w:w="1029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shd w:val="clear" w:color="auto" w:fill="C0C0C0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shd w:val="clear" w:color="auto" w:fill="C0C0C0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shd w:val="clear" w:color="auto" w:fill="C0C0C0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shd w:val="clear" w:color="auto" w:fill="C0C0C0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shd w:val="clear" w:color="auto" w:fill="C0C0C0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shd w:val="clear" w:color="auto" w:fill="C0C0C0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C0C0C0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Общо публични разходи</w:t>
            </w:r>
          </w:p>
        </w:tc>
        <w:tc>
          <w:tcPr>
            <w:tcW w:w="750" w:type="pct"/>
            <w:shd w:val="clear" w:color="auto" w:fill="C0C0C0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1 278 315,00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825 912,00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190 920,00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1 269 064,00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781 741,00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886 487,00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117 239,00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150 298,00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209 744,00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505 832,00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6 215 552,00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7 372 795,00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1 658 813,00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332 528,60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336 577,80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2 078 321,50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239 431,20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15 220 475,10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373 172 120,00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357 878 002,00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15 294 118,00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91 938 834,00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91 938 834,00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222 613 036,00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222 613 036,00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13 871 586,00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13 871 586,00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5 745 739,00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5 745 739,00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104 074 831,00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104 074 831,00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3 029 044,00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3 029 044,00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1 787 076,00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1 787 076,00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816 232 266,00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800 938 148,00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15 294 118,00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5 327 679,00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5 327 679,00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5 327 679,00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5 327 679,00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50 252 754,00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50 252 754,00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61 550 000,00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61 550 000,00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42 456 760,00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40 692 054,00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1 764 706,00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154 259 514,00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152 494 808,00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1 764 706,00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754 274,00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754 274,00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666 776 329,00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666 776 329,00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667 530 603,00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667 530 603,00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17 394 630,00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17 394 630,00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2 462 369,00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2 462 369,00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10 501 000,00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10 501 000,00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30 357 999,00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30 357 999,00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72 944,00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72 944,00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17 394 630,00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17 394 630,00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2 389 425,00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2 389 425,00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10 501 000,00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10 501 000,00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8 385 734,00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8 385 734,00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288 598 389,00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35 746 206,00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324 344 595,00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220 977 187,00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220 977 187,00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238 675 650,00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238 675 650,00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385 895 579,00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385 895 579,00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23 364 448,00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23 364 448,00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2 499 188,00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2 499 188,00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712 549,00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712 549,00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1 409 563,00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1 409 563,00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396 248,00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396 248,00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228 806,00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228 806,00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437 005,00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437 005,00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228 935,00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228 935,00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21 527,00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21 527,00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5 933 821,00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5 933 821,00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162 449 174,20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159 507 998,20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2 941 176,00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162 449 174,20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159 507 998,20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2 941 176,00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3 708 037,00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119 122 782,00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2 583 698,00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34 093 482,00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38 235 323,00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3 890 357,00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42 125 680,00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42 125 680,00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23 284 568,00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23 284 568,00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МСП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23 284 568,00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49 057 957,00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pPr>
        <w:pStyle w:val="Heading2"/>
      </w:pPr>
      <w:r>
        <w:br w:type="page"/>
      </w:r>
      <w:bookmarkStart w:id="2" w:name="_Toc256000002"/>
      <w:r>
        <w:t>Таблица Б: Показатели за реализирани резултати по мерки и области с поставен акцент</w:t>
      </w:r>
      <w:bookmarkEnd w:id="2"/>
    </w:p>
    <w:p>
      <w:r>
        <w:t>Таблица Б1: Реализирани резултати (годишен доклад за изпълнението) — КУМУЛАТИВНИ ДАННИ</w:t>
      </w:r>
    </w:p>
    <w:p>
      <w:r>
        <w:t>М01 — Трансфер на знания и действия за осведомяване (член 14)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274"/>
        <w:gridCol w:w="1351"/>
        <w:gridCol w:w="2399"/>
        <w:gridCol w:w="1370"/>
        <w:gridCol w:w="1328"/>
        <w:gridCol w:w="1436"/>
        <w:gridCol w:w="1262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4 618,90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4 618,90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13 856,69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4 618,90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57 231,77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4 618,90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4 618,90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13 856,69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4 618,90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4 919,73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57 231,77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810,00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M01.3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М02 —  Консултантски услуги, услуги по управление на стопанство и услуги по заместване в стопанство (член 15)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274"/>
        <w:gridCol w:w="1351"/>
        <w:gridCol w:w="2399"/>
        <w:gridCol w:w="1370"/>
        <w:gridCol w:w="1328"/>
        <w:gridCol w:w="1436"/>
        <w:gridCol w:w="1262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2 549 981,10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1 655 313,10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332 528,60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336 577,80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2 078 321,50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239 431,20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800 502,00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10 394 161,30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5 473,00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2 188,00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2 764,00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2 684,00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5 653,00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5 349,00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5 480,00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5 800,00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5 800,00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5 800,00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46 991,00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5 473,00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2 188,00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2 764,00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2 684,00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5 653,00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5 349,00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5 480,00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5 800,00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5 800,00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5 800,00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46 991,00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M04 — Инвестиции в материални активи (член 17)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884"/>
        <w:gridCol w:w="1065"/>
        <w:gridCol w:w="2441"/>
        <w:gridCol w:w="1786"/>
        <w:gridCol w:w="1109"/>
        <w:gridCol w:w="1011"/>
        <w:gridCol w:w="1265"/>
        <w:gridCol w:w="85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176 748 722,67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176 748 722,67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53 075 886,82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53 075 886,82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119 993 739,86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119 993 739,86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10 489 906,91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10 489 906,91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2 726 705,10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2 726 705,10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86 071 554,53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86 071 554,53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1 326 708,34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1 326 708,34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715 079,00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715 079,00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451 148 303,23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451 148 303,23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355 789 421,81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355 789 421,81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106 643 368,43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106 643 368,43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240 898 336,80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240 898 336,80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21 555 790,97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21 555 790,97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5 405 817,13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5 405 817,13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179 789 967,00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179 789 967,00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2 658 229,00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2 658 229,00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1 629 629,48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1 629 629,48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914 370 560,62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914 370 560,62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320,00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1 893,00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1 893,00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1 564,00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1 564,00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176 748 722,67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53 075 886,82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10 489 906,91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2 726 705,10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59 434 481,88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1 326 708,34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715 079,00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304 517 490,72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1 564,00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1 564,00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M04.3;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1 000,00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119 993 739,86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26 637 072,65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146 630 812,51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 xml:space="preserve">M05 Възстановяване на потенциала за селскостопанска продукция, претърпял щети в резултат на природни бедствия или катастрофични събития, и въвеждане на подходящи превантивни мерки (член 18)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884"/>
        <w:gridCol w:w="1065"/>
        <w:gridCol w:w="2441"/>
        <w:gridCol w:w="1786"/>
        <w:gridCol w:w="1109"/>
        <w:gridCol w:w="1011"/>
        <w:gridCol w:w="1265"/>
        <w:gridCol w:w="85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2 123 958,40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2 123 958,40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2 123 958,40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2 123 958,40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4 302 014,43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4 302 014,43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4 302 014,43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4 302 014,43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други (публични органи)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други (публични органи)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M05.2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M05.2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други (публични органи) 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M05.2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други (публични органи) 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M06 — Развитие на стопанства и предприятия (член 19)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884"/>
        <w:gridCol w:w="1065"/>
        <w:gridCol w:w="2441"/>
        <w:gridCol w:w="1786"/>
        <w:gridCol w:w="1109"/>
        <w:gridCol w:w="1011"/>
        <w:gridCol w:w="1265"/>
        <w:gridCol w:w="85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63 859 059,00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63 859 059,00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70 938 849,00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70 938 849,00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8 088 440,00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8 088 440,00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142 886 348,00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142 886 348,00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63 816 667,00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63 816 667,00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71 697 177,00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71 697 177,00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9 270 475,10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9 270 475,10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144 784 319,10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144 784 319,10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7 506,00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7 506,00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3 570,00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3 570,00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11 145,00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11 145,00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7 506,00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7 506,00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3 580,00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3 580,00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11 155,00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11 155,00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70 938 849,00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70 938 849,00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3 580,00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3 580,00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63 859 059,00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63 859 059,00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7 506,00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7 506,00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8 088 440,00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8 088 440,00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М07 — Основни услуги и обновяване на селата в селските райони (член 20)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908"/>
        <w:gridCol w:w="1083"/>
        <w:gridCol w:w="2139"/>
        <w:gridCol w:w="1974"/>
        <w:gridCol w:w="1126"/>
        <w:gridCol w:w="1031"/>
        <w:gridCol w:w="1276"/>
        <w:gridCol w:w="88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495 232 868,00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495 232 868,00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495 232 868,00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495 232 868,00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503 008 457,00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503 008 457,00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503 008 457,00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503 008 457,00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675,00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675,00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675,00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675,00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22 325 355,00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22 325 355,00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4 206 608,00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4 206 608,00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503 566 332,00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503 566 332,00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595,00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595,00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M07.8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М08 — Инвестиции в развитие на горските райони и подобряване на жизнеспособността на горите (членове 21 — 26)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884"/>
        <w:gridCol w:w="1065"/>
        <w:gridCol w:w="2441"/>
        <w:gridCol w:w="1786"/>
        <w:gridCol w:w="1109"/>
        <w:gridCol w:w="1011"/>
        <w:gridCol w:w="1265"/>
        <w:gridCol w:w="85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3 904 265,79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3 904 265,79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4 883 480,25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4 883 480,25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3 904 265,79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3 904 265,79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4 883 480,25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4 883 480,25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583 748,00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583 748,00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979 214,46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M16 — Сътрудничество (член 35)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681"/>
        <w:gridCol w:w="917"/>
        <w:gridCol w:w="1416"/>
        <w:gridCol w:w="711"/>
        <w:gridCol w:w="1416"/>
        <w:gridCol w:w="1882"/>
        <w:gridCol w:w="974"/>
        <w:gridCol w:w="846"/>
        <w:gridCol w:w="1176"/>
        <w:gridCol w:w="646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3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445 006,07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153 768,01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406 571,57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71 586,32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38 578,35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139 422,58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79 438,71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1 334 371,61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на подпомогнатите операции за сътрудничество в рамките на ЕПИ (напр. пилотни 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подпомогнатите оперативни групи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Научноизследователски институти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(други публични органи...)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НПО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M16.9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М21 — Извънредно временно подпомагане за земеделските стопани и МСП, които са особено засегнати от извънредното положение във връзка с COVID-19 (член 39, буква б)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949"/>
        <w:gridCol w:w="1113"/>
        <w:gridCol w:w="2457"/>
        <w:gridCol w:w="1467"/>
        <w:gridCol w:w="1153"/>
        <w:gridCol w:w="1064"/>
        <w:gridCol w:w="1293"/>
        <w:gridCol w:w="92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38 237 487,00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3 880 358,00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42 117 845,00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3 880 358,00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38 237 487,00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31 460,00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187,00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31 647,00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МСП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187,00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31 460,00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M22 — Извънредна временна подкрепа за земеделските стопани и МСП, които са особено засегнати от последиците от нахлуването на Русия в Украйна (член 39г)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949"/>
        <w:gridCol w:w="1113"/>
        <w:gridCol w:w="2457"/>
        <w:gridCol w:w="1467"/>
        <w:gridCol w:w="1153"/>
        <w:gridCol w:w="1064"/>
        <w:gridCol w:w="1293"/>
        <w:gridCol w:w="92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Б1: 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23 170 440,00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23 170 440,00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23 170 440,00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31 354,00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31 354,00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МСП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подкрепа за земеделските стопани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31 354,00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Таблица Б2.1: Реализирани резултати в рамките на LEADER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014"/>
        <w:gridCol w:w="1823"/>
        <w:gridCol w:w="1161"/>
        <w:gridCol w:w="1795"/>
        <w:gridCol w:w="1196"/>
        <w:gridCol w:w="1117"/>
        <w:gridCol w:w="1322"/>
        <w:gridCol w:w="99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Реализирано изпълнение (кумулативно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Стартов пакет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11 555,00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стратегии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2 011 858,00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10 323 352,00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(3А),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604 624,00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216 456,00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(3Б),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(4В),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138 967,00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(2Б),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39 983,00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(1Б),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280 683,00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(4Б),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71 452,00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997 564,00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(2А),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3 898 480,00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(1В),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(5Д),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49 995,00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(4А),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(1А),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461 207,00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транснационално сътрудничество (проекти)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281 404,00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техническа помощ за подготвителни дейности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436 065,00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междутериториално сътрудничество (проекти)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367 448,00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текущите разходи в рамките на стратегиите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19 603 398,00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подкрепа за стимулиране на интерес в рамките на стратегиите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4 900 849,00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O18 - Брой на жителите, обхванати от местните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1 646 588,00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O19 - Брой на избраните 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O19 - Брой на избраните 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многофондови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(3А),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(3Б),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(4В),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(2Б),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(1Б),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(4Б),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(6А),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(2А),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(1В),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(5Д),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(4А),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(въз основа на акцентираната област (1А),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транснационално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междутериториално сътрудничество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МСП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НПО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26,00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Публични институции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114,00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O23 - Единен номер на местните групи за действие, участващи в проект за сътрудничество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транснационално сътрудничество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O23 - Единен номер на местните групи за действие, участващи в проект за сътрудничество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междутериториално сътрудничество 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r>
        <w:br w:type="page"/>
      </w:r>
      <w:r>
        <w:t>Таблица Б2.2: Данни в рамките на LEADER за наблюдение на приноса за областите с поставен акцент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152"/>
        <w:gridCol w:w="1288"/>
        <w:gridCol w:w="1229"/>
        <w:gridCol w:w="2506"/>
        <w:gridCol w:w="1862"/>
        <w:gridCol w:w="1247"/>
        <w:gridCol w:w="1136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Стойност (общо за 2014-2022 г.)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461 207,00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T2: общ брой на операциите за сътрудничество, подпомагани по мярката за сътрудничество (член 35 от Регламент (ЕС) № 1305/2013) (групи, мрежи/клъстери, пилотни проекти...) (област с поставен акцент 1Б)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114,00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71 452,00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71 452,00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216 456,00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216 456,00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216,00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1 646 588,00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IT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40 088,00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r>
        <w:br w:type="page"/>
      </w:r>
      <w:r>
        <w:t>Таблица Б2.3: Мониторинг на техническата помощ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165"/>
        <w:gridCol w:w="1272"/>
        <w:gridCol w:w="2000"/>
        <w:gridCol w:w="1805"/>
        <w:gridCol w:w="1770"/>
        <w:gridCol w:w="1257"/>
        <w:gridCol w:w="1150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Таблица Б2.3 Стойност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административни разходи (за персонал, материали...)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35 155 648,00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разходи (проучвания, обучения...)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6 580 372,00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общо подпомагане за техническа помощ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общо подпомагане за техническа помощ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които подпомагат създаването и привеждането в действие на НМСР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891 405,00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2 373,00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34,00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474,00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примерите на проекти, събрани и разпространявани от НМСР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O26 - Брой на дейностите в рамките на Европейската мрежа за развитие на селските райони, в които е участвала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O26 - Брой на дейностите в рамките на Европейската мрежа за развитие на селските райони, в които е участвала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 които НМСР са участвали активно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r>
        <w:br w:type="page"/>
      </w:r>
      <w:r>
        <w:t>Таблица Б3: Годишен мониторинг по области, многогодишно и по животински единици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677"/>
        <w:gridCol w:w="912"/>
        <w:gridCol w:w="2378"/>
        <w:gridCol w:w="1592"/>
        <w:gridCol w:w="1485"/>
        <w:gridCol w:w="968"/>
        <w:gridCol w:w="841"/>
        <w:gridCol w:w="1161"/>
        <w:gridCol w:w="642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Реализирано изпълнение (ГОДИШНО)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от които по линия на EURI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3 904 265,79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3 904 265,79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2 555,58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2 555,58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1 044 502,00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1 044 502,00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328,00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2 213 807,00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2 213 807,00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3 297 892,00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3 297 892,00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2 736 183,00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2 736 183,00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15 159,00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15 159,00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19 703,00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19 703,00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28 378,00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28 378,00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O6 - Подпомагана физическа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63 240,00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1 313,00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1 196,00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2 509,00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2 644 885,00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2 644 885,00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10 902 890,00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10 902 890,00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2 377,00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2 377,00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17 429 375,00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17 429 375,00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2 553,00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2 553,00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3 451,00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3 451,00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42 919,00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42 919,00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12 759,00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12 759,00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57 690 528,00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57 690 528,00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488 563,00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488 563,00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29 782,00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29 782,00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39 611 238,00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39 611 238,00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388 060,00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388 060,00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10 418 398,00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10 418 398,00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278 903,00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278 903,00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584 710,00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584 710,00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14 528,00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14 528,00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5 774 503,00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5 774 503,00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961,00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961,00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106 624,00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106 624,00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Таблица Б4: Общо публични разходи на операциите, които имат допълнителен принос за областите с поставен акцент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721"/>
        <w:gridCol w:w="2233"/>
        <w:gridCol w:w="2233"/>
        <w:gridCol w:w="223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Общо публични разходи — кумулативни данни за ГОДИНА 2022 (общо програмирани за акцентираната област)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11 785 764,68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305 015 314,74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125 674 667,82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979 214,46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142 344 146,63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2 465 455,93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950 192 209,43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3 042 341,52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86 915 554,61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2 271 552,65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34 393 384,03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1 389 169,73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11 968 798,00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539 928 208,00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2 206 580 017,55</w:t>
            </w:r>
          </w:p>
        </w:tc>
      </w:tr>
    </w:tbl>
    <w:p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721"/>
        <w:gridCol w:w="2233"/>
        <w:gridCol w:w="2233"/>
        <w:gridCol w:w="223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2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Разбивка P4: Общо публични разходи — кумулативни данни за ГОДИНА 2022 (общо публични разходи за всички операции P4 с принос за всяка акцентна област — двойно зачитане)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952 788 819,00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952 788 819,00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952 788 819,00</w:t>
            </w:r>
          </w:p>
        </w:tc>
      </w:tr>
    </w:tbl>
    <w:p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721"/>
        <w:gridCol w:w="2233"/>
        <w:gridCol w:w="2233"/>
        <w:gridCol w:w="223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Общо публични разходи — кумулативни данни за ГОДИНА 2022 (общо публични разходи за всички операции с допълнителен принос за други акцентни области — двойно зачитане)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49 569 019,00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571 152 540,00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214 338 430,00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543 803 785,00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48 306 234,00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76 255 927,00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76 255 927,00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76 255 927,00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48 306 234,00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570 308 726,00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48 306 234,00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48 306 234,00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642 574 284,00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pPr>
        <w:pStyle w:val="Heading2"/>
      </w:pPr>
      <w:r>
        <w:br w:type="page"/>
      </w:r>
      <w:bookmarkStart w:id="3" w:name="_Toc256000003"/>
      <w:r>
        <w:t>Таблица В: Разбивка за съответните резултати и мерки по типове области, пол и/или възраст — КУМУЛАТИВНИ ДАННИ</w:t>
      </w:r>
      <w:bookmarkEnd w:id="3"/>
    </w:p>
    <w:p>
      <w:r>
        <w:t>Таблица В1.1: Мониторинг на резултатите, разбити по вид на областта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404"/>
        <w:gridCol w:w="1447"/>
        <w:gridCol w:w="2306"/>
        <w:gridCol w:w="1864"/>
        <w:gridCol w:w="1909"/>
        <w:gridCol w:w="1489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различно от ANC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250 152 991,00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95 216 029,00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Планински райони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106 895 085,00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Специфични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452 264 105,00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различно от ANC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68 856 956,00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12 679 716,00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Планински райони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33 058 309,00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Специфични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114 594 981,00</w:t>
            </w:r>
          </w:p>
        </w:tc>
      </w:tr>
    </w:tbl>
    <w:p>
      <w:r>
        <w:br w:type="page"/>
      </w:r>
      <w:r>
        <w:t>ТАБЛИЦА В1.2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737"/>
        <w:gridCol w:w="1737"/>
        <w:gridCol w:w="2894"/>
        <w:gridCol w:w="2316"/>
        <w:gridCol w:w="173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150 671 415,10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M10.1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от които „Натура 2000“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M15.1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от които „Натура 2000“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r>
        <w:br w:type="page"/>
      </w:r>
      <w:r>
        <w:t>ТАБЛИЦА В1.3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737"/>
        <w:gridCol w:w="1737"/>
        <w:gridCol w:w="2894"/>
        <w:gridCol w:w="2316"/>
        <w:gridCol w:w="173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1 252 648 640,93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M06.1; M06.3; M10.1; M10.2; M12.1; M12.2; M12.3; M13.1; M13.2; M13.3; M14.1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от които биологични стопанства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136 728 767,00</w:t>
            </w:r>
          </w:p>
        </w:tc>
      </w:tr>
    </w:tbl>
    <w:p>
      <w:r>
        <w:br w:type="page"/>
      </w:r>
      <w:r>
        <w:t>Таблица В2.1: Мониторинг на резултатите, разбити по възраст и пол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929"/>
        <w:gridCol w:w="1098"/>
        <w:gridCol w:w="2452"/>
        <w:gridCol w:w="1389"/>
        <w:gridCol w:w="1098"/>
        <w:gridCol w:w="1139"/>
        <w:gridCol w:w="1048"/>
        <w:gridCol w:w="126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596,00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248,00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627,00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1 044,00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826,00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1 334,00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3 919,00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877,00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1 124,00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2 170,00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Възраст (&gt; 40)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нефизически лица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69,00</w:t>
            </w:r>
          </w:p>
        </w:tc>
      </w:tr>
    </w:tbl>
    <w:p>
      <w:r>
        <w:br w:type="page"/>
      </w:r>
      <w:r>
        <w:t>Таблица В2.2: Мониторинг на резултатите, разбити по вид на земеделския отрасъл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294"/>
        <w:gridCol w:w="1366"/>
        <w:gridCol w:w="2413"/>
        <w:gridCol w:w="1953"/>
        <w:gridCol w:w="1957"/>
        <w:gridCol w:w="143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44 189 958,00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44 189 958,00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46 377 092,00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46 377 092,00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82 767 771,00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82 767 771,00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4 059 940,00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4 059 940,00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14 648 450,00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14 648 450,00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35 140 641,00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35 140 641,00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30 338 098,00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30 338 098,00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48 085 224,00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48 085 224,00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146 656 930,00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146 656 930,00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452 264 104,00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452 264 104,00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506,00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506,00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263,00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1 613,00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1 613,00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2 205 556,00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2 205 556,00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15 761 411,00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15 761 411,00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38 692 371,00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38 692 371,00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110 000,00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110 000,00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33 139 193,00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33 139 193,00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3 226 045,00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3 226 045,00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7 699 852,00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7 699 852,00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5 672 113,00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5 672 113,00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8 088 440,00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8 088 440,00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114 594 981,00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114 594 981,00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890,00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890,00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2 088,00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2 088,00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2 064,00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2 064,00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457,00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6 158,00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6 158,00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6 158,00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>
      <w:r>
        <w:br w:type="page"/>
      </w:r>
      <w:r>
        <w:t>Таблица В2.3: Мониторинг на резултатите, разбити по размер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352"/>
        <w:gridCol w:w="1408"/>
        <w:gridCol w:w="2455"/>
        <w:gridCol w:w="1756"/>
        <w:gridCol w:w="1985"/>
        <w:gridCol w:w="146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26 819 139,00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26 819 139,00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137 414 918,00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137 414 918,00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38 946 941,00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38 946 941,00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90 188 982,00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90 188 982,00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305 607 174,00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305 607 174,00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12 237 194,00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12 237 194,00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169,00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513,00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513,00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1 350,00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1 350,00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1 832 325,00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1 832 325,00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100 704 535,00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100 704 535,00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962 500,00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962 500,00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335 000,00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335 000,00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106 506 541,00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106 506 541,00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2 672 181,00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2 672 181,00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5 750,00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5 750,00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6 089,00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6 089,00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152,00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&gt;=  5 ha до &lt; 10 ha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r>
        <w:br w:type="page"/>
      </w:r>
      <w:r>
        <w:t>Таблица C2.4: Наблюдение на подпомаганите операции за интеграция на граждани на трети държави (ГТД) (изменен член 14 от Регламент 808/2014) — КУМУЛАТИВНО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721"/>
        <w:gridCol w:w="2233"/>
        <w:gridCol w:w="2233"/>
        <w:gridCol w:w="223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</w:tbl>
    <w:p>
      <w:r>
        <w:br w:type="page"/>
      </w:r>
      <w:r>
        <w:t>Таблица В2.5: Мониторинг на подкрепените операции, предназначени за подпомагане на смекчаването на последиците от извънредно положение във връзка с COVID-19 и на действия за възстановяване (изменен член 14 от Регламент 808/2014) — КУМУЛАТИВНО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839"/>
        <w:gridCol w:w="3065"/>
        <w:gridCol w:w="1839"/>
        <w:gridCol w:w="1839"/>
        <w:gridCol w:w="1839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38 237 487,00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3 880 358,00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42 117 845,00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31 460,00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187,00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31 647,00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</w:tbl>
    <w:p>
      <w:r>
        <w:br w:type="page"/>
      </w:r>
      <w:r>
        <w:t>Table C2.6: Monitoring of supported operations supporting mitigation of the impact of Russia’s invasion of Ukraine and recovery actions (amended art 14 of Regulation 808/2014) – CUMULATIVE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839"/>
        <w:gridCol w:w="3065"/>
        <w:gridCol w:w="1839"/>
        <w:gridCol w:w="1839"/>
        <w:gridCol w:w="1839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Кумулативно за 2014-2022 г.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23 170 440,00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23 170 440,00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31 354,00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M22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M22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31 354,00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M20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</w:tbl>
    <w:p>
      <w:pPr>
        <w:pStyle w:val="Heading2"/>
      </w:pPr>
      <w:r>
        <w:br w:type="page"/>
      </w:r>
      <w:bookmarkStart w:id="4" w:name="_Toc256000004"/>
      <w:r>
        <w:t>Таблица Г: Напредък към постигане на целите</w:t>
      </w:r>
      <w:bookmarkEnd w:id="4"/>
      <w:r>
        <w:t xml:space="preserve"> </w:t>
      </w:r>
    </w:p>
    <w:p>
      <w:r>
        <w:t>Одобрени операции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563"/>
        <w:gridCol w:w="1563"/>
        <w:gridCol w:w="2605"/>
        <w:gridCol w:w="1563"/>
        <w:gridCol w:w="1563"/>
        <w:gridCol w:w="156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 xml:space="preserve">Подмярка 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Въз основа на одобрените операции (кумулативни данни за периода 2014—2022 г.)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980,00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270,00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3 631,00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433,00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269 485 411,00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6 015 773,22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r>
        <w:br w:type="page"/>
      </w:r>
      <w:r>
        <w:t>Реализирани целеви стойности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737"/>
        <w:gridCol w:w="1737"/>
        <w:gridCol w:w="2894"/>
        <w:gridCol w:w="2316"/>
        <w:gridCol w:w="173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Въз основа на реализираната целева стойност от приключени операции*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T1: процент на разходи по членове 14, 15 и 35 от Регламент (ЕС) № 1305/2013 във връзка с общите разходи за ПРСР (област с поставен акцент 1А)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0,41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T2: общ брой на операциите за сътрудничество, подпомагани по мярката за сътрудничество (член 35 от Регламент (ЕС) № 1305/2013) (групи, мрежи/клъстери, пилотни проекти...) (област с поставен акцент 1Б)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T3: общ брой на участниците в обучения съгласно член 14 от Регламент (ЕС) № 1305/2013 (област с поставен акцент 1В)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2 030,00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брой на земеделските стопанства, получаващи подпомагане по ПРСР за инвестиции в преструктуриране или модернизация (област с поставен акцент 2A)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930,00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R1 / T4: процент на земеделските стопанства, получаващи подпомагане по ПРСР за инвестиции в преструктуриране или модернизация (област с поставен акцент 2A)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0,25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R3 / T5: процент на земеделските стопанства, разполагащи с бизнес план за развитие/инвестиции за млади земеделски стопани, подпомагани по ПРСР (област с поставен акцент 2Б)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0,97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R4 / T6: процент на земеделските стопанства, получаващи подпомагане по схеми за качество, местни пазари и къси вериги на доставки и групи/организации на производителите (област с поставен акцент 3A)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0,12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R5 / T7: процент на стопанствата, които участват в схеми за управление на риска (област с поставен акцент 3Б)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гори/други залесени площи, обхванати от договори за управление с цел подкрепа на биологичното разнообразие (ha)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R6 / T8: процент на гори или други залесени райони, обхванати от договори за управление в подкрепа на биологичното разнообразие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земеделска земя, обхваната от договори за управление в подкрепа на биологичното разнообразие и/или ландшафти (ha)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583 014,00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R7 / T9: процент на земеделската земя, обхваната от договори за управление в подкрепа на биологичното разнообразие и/или ландшафти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13,03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земеделска земя, обхваната от договори за управление с цел подобряване на управлението на водите (ha)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94 451,00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R8 / T10: процент на земеделската земя, обхваната от договори за управление с цел подобряване на управлението на водите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2,11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горска земя, обхваната от договори за управление с цел подобряване на управлението на водите (ha)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R9 / T11: процент на горската земя, обхваната от договори за управление с цел подобряване на управлението на водите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земеделска земя, обхваната от договори за управление с цел подобряване на управлението на почвите и/или предотвратяване на почвената ерозия (ha)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94 451,00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R10 / T12: процент на земеделската земя, обхваната от договори за управление с цел подобряване на управлението на почвите и/или предотвратяване на почвената ерозия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2,11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горска земя, обхваната от договори за управление с цел подобряване на управлението на почвите и/или предотвратяване на почвената ерозия (ha)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R11 / T13: процент на горската земя, обхваната от договори за управление с цел подобряване на управлението на почвите и/или предотвратяване на почвената ерозия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R12 / T14: процент на поливните площи, преминаващи към по-ефективни напоителни системи (област с поставен акцент 5А)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T15: общите инвестиции за енергийна ефективност (област с поставен акцент 5Б)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179 789 967,00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T16: общ размер на инвестициите в производство на енергия от възобновяеми източници (област с поставен акцент 5В)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2 658 229,00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R16 / T17: процент на ЖЕ, засегнати от инвестиции в управление на добитък с оглед намаляване на емисиите на парникови газове и/или на амоняк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0,09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земеделска земя, обхваната от договори за управление за намаляване на емисиите на парникови газове и/или на амоняк (ha)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31 212,00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R17 / T18: процент на земеделската земя, обхваната от договори за управление за намаляване на емисиите на парникови газове и/или на амоняк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0,70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земеделска и горска земя под управление за насърчаване поглъщането/съхраняването на въглерод (ha) (област с поставен акцент 5Д)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R20 / T19: процент от земеделските и горските земи, обхванати от договори за управление, допринасящи за улавяне и съхранение на въглерод (област с поставен акцент 5Д)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1 047,00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1 047,00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R22 / T21: процент от населението в селските райони, обхванато от стратегии за местно развитие (област с поставен акцент 6Б)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27,53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нетен брой на населението, което се възползва от подобрените услуги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4 206 608,00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R23 / T22: процент от населението в селските райони, което се възползва от подобрените услуги/инфраструктура (област с поставен акцент 6Б)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70,34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R24 / T23: работни места, разкрити в подпомогнатите проекти (LEADER) (област с поставен акцент 6Б)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R24 / T23: работни места, разкрити в подпомогнатите проекти (LEADER) (област с поставен акцент 6Б)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мъже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108,00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нетен брой на населението, което се възползва от подобрените услуги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center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R25 / T24: процент от населението в селските райони, което се възползва от нови или подобрени услуги/инфраструктура (ИКТ) (област с поставен акцент 6В)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0,00</w:t>
            </w:r>
          </w:p>
        </w:tc>
      </w:tr>
    </w:tbl>
    <w:p>
      <w:pPr>
        <w:pStyle w:val="Heading2"/>
      </w:pPr>
      <w:r>
        <w:br w:type="page"/>
      </w:r>
      <w:bookmarkStart w:id="5" w:name="_Toc256000005"/>
      <w:r>
        <w:t>Таблица Д: Мониторинг на преходните мерки — ГОДИШНИ ДАННИ</w:t>
      </w:r>
      <w:bookmarkEnd w:id="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473"/>
        <w:gridCol w:w="3473"/>
        <w:gridCol w:w="347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</w:t>
            </w:r>
          </w:p>
        </w:tc>
        <w:tc>
          <w:tcPr>
            <w:tcW w:w="50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Мярка (код) съгласно Регламент (ЕО) № 1698/2005 (DM = преустановена мярка)</w:t>
            </w:r>
          </w:p>
        </w:tc>
        <w:tc>
          <w:tcPr>
            <w:tcW w:w="750" w:type="pct"/>
            <w:vMerge w:val="restart"/>
            <w:shd w:val="clear" w:color="auto" w:fill="C0C0C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jc w:val="right"/>
            </w:pPr>
            <w:r>
              <w:rPr>
                <w:b w:val="0"/>
                <w:sz w:val="16"/>
              </w:rPr>
              <w:t>Общо публични разходи   (в евро)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331, 111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114, 115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132, 133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216, 121, 125, 123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112, 141, 311,312,313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321, 322, 323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221, 222, 223, 226, 227, 122, 123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142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213, 224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211, 212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215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225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124</w:t>
            </w:r>
          </w:p>
        </w:tc>
        <w:tc>
          <w:tcPr>
            <w:tcW w:w="750" w:type="pct"/>
            <w:vMerge w:val="restar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411, 412, 413, 421, 431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DM 113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DM 131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left"/>
              <w:rPr>
                <w:b w:val="0"/>
                <w:sz w:val="16"/>
              </w:rPr>
            </w:pPr>
            <w:r>
              <w:rPr>
                <w:b w:val="0"/>
                <w:sz w:val="16"/>
              </w:rPr>
              <w:t>DM 341</w:t>
            </w:r>
          </w:p>
        </w:tc>
        <w:tc>
          <w:tcPr>
            <w:tcW w:w="750" w:type="pct"/>
            <w:shd w:val="clear" w:color="auto" w:fill="FFFFFF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spacing w:before="20" w:after="20"/>
              <w:jc w:val="right"/>
              <w:rPr>
                <w:b w:val="0"/>
                <w:sz w:val="16"/>
              </w:rPr>
            </w:pPr>
          </w:p>
        </w:tc>
      </w:tr>
    </w:tbl>
    <w:p>
      <w:pPr>
        <w:sectPr>
          <w:pgMar w:top="900" w:right="900" w:bottom="900" w:left="900" w:header="720" w:footer="720"/>
          <w:cols w:space="720"/>
        </w:sectPr>
      </w:pPr>
      <w:r>
        <w:br w:type="page"/>
      </w:r>
    </w:p>
    <w:p>
      <w:pPr>
        <w:pStyle w:val="Heading2"/>
      </w:pPr>
      <w:bookmarkStart w:id="6" w:name="_Toc256000006"/>
      <w:r>
        <w:t>Таблица Е: Постигане на показателите от рамката на изпълнението</w:t>
      </w:r>
      <w:bookmarkEnd w:id="6"/>
    </w:p>
    <w:p>
      <w:r>
        <w:t>Таблица Е1: Показатели от рамката на изпълнението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441"/>
        <w:gridCol w:w="1491"/>
        <w:gridCol w:w="3140"/>
        <w:gridCol w:w="1678"/>
        <w:gridCol w:w="1709"/>
        <w:gridCol w:w="1760"/>
        <w:gridCol w:w="1542"/>
        <w:gridCol w:w="1257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Приоритет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показатели от рамката на изпълнението (година 2022)* (A)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Корекции за допълнителни плащания  (Б)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ADJUSTMENT EURI ( C )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Calculated achievement rate (YEAR 2022)** (D)=(A-B-C)/E</w:t>
            </w:r>
          </w:p>
        </w:tc>
        <w:tc>
          <w:tcPr>
            <w:tcW w:w="750" w:type="pct"/>
            <w:shd w:val="clear" w:color="auto" w:fill="808080"/>
            <w:noWrap w:val="0"/>
            <w:tcMar>
              <w:top w:w="20" w:type="dxa"/>
              <w:bottom w:w="20" w:type="dxa"/>
            </w:tcMar>
            <w:vAlign w:val="center"/>
          </w:tcPr>
          <w:p>
            <w:r>
              <w:rPr>
                <w:b/>
                <w:sz w:val="20"/>
              </w:rPr>
              <w:t>Цел 2025 г. (от ПРСР) Д)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Общо публични разходи П2 (в евро)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431 669 197,02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60.32%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715 602 590,40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Брой на земеделски стопанства с подпомагане от ПРСР за инвестиции в преструктуриране и модернизация (област с поставен акцент 2А) + стопанства с бизнес план за развитие/инвестиция за млади земеделски стопани, подпомагани по линия на ПРСР (област с поставен акцент 2Б)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4 560,00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97.02%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4 700,00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Общо публични разходи П3 (в евро)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144 809 602,56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37.19%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389 371 911,80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 xml:space="preserve">Брой на земеделските стопанства, получаващи подпомагане по схеми за качество, за местни пазари/ къси вериги на доставки и групи на производителите (област с поставен акцент 3A) 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441,00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304.14%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145,00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Брой на земеделските стопанства, които участват в схеми за управление на риска (област с поставен акцент 3Б)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0%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60,00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Общо публични разходи П4 (в евро)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950 192 209,43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85.42%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1 112 335 772,60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Земеделска земя, обхваната от договори за управление с цел подкрепа на биологичното разнообразие (ha) (област с поставен акцент 4А) + подобряване на управлението на водите (ha) (област с поставен акцент 4Б) + подобряване на управлението на почвите и/предотвратяването на почвената ерозия (ha) (област с поставен акцент 4В)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860 297,73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141.03%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610 000,00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Общо публични разходи П5 (в евро)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128 012 002,54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29.69%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431 192 192,80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Брой на инвестиционните операции в енергоспестяването и енергийната ефективност (област с поставен акцент 5Б) + в производство на енергия от възобновяеми източници (област с поставен акцент 5В)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336,00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56%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600,00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Земеделски и горски земи под управление за насърчаване на поглъщането/съхраняването на въглерод (ha) (област с поставен акцент 5Д) + земеделска земя, обхваната от договори за управление с цел намаляване на емисиите на парникови газове и/или на амоняк (ha) (област с поставен акцент 5Г) + поливни площи, преминаващи към по-ефективни напоителни системи (ha) (област с поставен акцент 5А)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29 894,00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70.79%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42 230,00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Брой операции, подпомогнати с цел подобряване на основни услуги и инфраструктура в селските райони (области с поставен акцент 6Б и 6В)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675,00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78.58%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859,00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Общо публични разходи П6 (в евро)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551 897 006,00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60.89%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906 390 433,50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Население, обхванато от местни групи за действие (област с поставен акцент 6Б)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1 646 588,00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120.19%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1 370 000,00</w:t>
            </w:r>
          </w:p>
        </w:tc>
      </w:tr>
    </w:tbl>
    <w:p>
      <w:pPr>
        <w:jc w:val="left"/>
      </w:pPr>
      <w:r>
        <w:br w:type="page"/>
      </w:r>
      <w:r>
        <w:t>Таблица Е2: Алтернативни показатели от рамката на изпълнението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1653"/>
        <w:gridCol w:w="1687"/>
        <w:gridCol w:w="1908"/>
        <w:gridCol w:w="1815"/>
        <w:gridCol w:w="1836"/>
        <w:gridCol w:w="1870"/>
        <w:gridCol w:w="1722"/>
        <w:gridCol w:w="1529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Приоритет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показатели от рамката на изпълнението (година 2022)* (A)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Корекции за допълнителни плащания  (Б)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ADJUSTMENT EURI ( C )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Calculated achievement rate (YEAR 2022)** (D)=(A-B-C)/E</w:t>
            </w:r>
          </w:p>
        </w:tc>
        <w:tc>
          <w:tcPr>
            <w:tcW w:w="750" w:type="pct"/>
            <w:shd w:val="clear" w:color="auto" w:fill="808080"/>
          </w:tcPr>
          <w:p>
            <w:r>
              <w:rPr>
                <w:b/>
                <w:sz w:val="20"/>
              </w:rPr>
              <w:t>Цел 2025 г. (от ПРСР) Д)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750" w:type="pct"/>
          </w:tcPr>
          <w:p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Брой операции  подпомогнати по M4 "Инвестиции във физически активи" за преработка и маркетинг на земеделска продукция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226,00</w:t>
            </w: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</w:p>
        </w:tc>
        <w:tc>
          <w:tcPr>
            <w:tcW w:w="750" w:type="pct"/>
          </w:tcPr>
          <w:p>
            <w:pPr>
              <w:jc w:val="right"/>
            </w:pPr>
            <w:r>
              <w:t>68.48%</w:t>
            </w:r>
          </w:p>
        </w:tc>
        <w:tc>
          <w:tcPr>
            <w:tcW w:w="750" w:type="pct"/>
          </w:tcPr>
          <w:p>
            <w:pPr>
              <w:jc w:val="right"/>
            </w:pPr>
            <w:r>
              <w:t>330,00</w:t>
            </w:r>
          </w:p>
        </w:tc>
      </w:tr>
    </w:tbl>
    <w:p>
      <w:pPr>
        <w:jc w:val="left"/>
        <w:sectPr>
          <w:type w:val="nextPage"/>
          <w:pgSz w:w="15840" w:h="12240" w:orient="landscape"/>
          <w:pgMar w:top="900" w:right="900" w:bottom="900" w:left="900" w:header="720" w:footer="720"/>
          <w:cols w:space="720"/>
        </w:sectPr>
      </w:pPr>
    </w:p>
    <w:p>
      <w:pPr>
        <w:pStyle w:val="Heading2"/>
        <w:jc w:val="left"/>
      </w:pPr>
      <w:bookmarkStart w:id="7" w:name="_Toc256000007"/>
      <w:r>
        <w:t>Таблица Ж: Специфични за програмата показатели</w:t>
      </w:r>
      <w:bookmarkEnd w:id="7"/>
    </w:p>
    <w:p>
      <w:r>
        <w:t>Таблица Ж1: Таблица за специфични цели</w:t>
      </w:r>
    </w:p>
    <w:p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942"/>
        <w:gridCol w:w="1642"/>
        <w:gridCol w:w="1238"/>
        <w:gridCol w:w="1198"/>
        <w:gridCol w:w="1232"/>
        <w:gridCol w:w="1467"/>
        <w:gridCol w:w="2700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Наименование на целевия показател 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Мерна единица 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Целева стойност 2025 г.</w:t>
            </w:r>
          </w:p>
        </w:tc>
        <w:tc>
          <w:tcPr>
            <w:tcW w:w="7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2022</w:t>
            </w:r>
          </w:p>
        </w:tc>
        <w:tc>
          <w:tcPr>
            <w:tcW w:w="750" w:type="pct"/>
            <w:shd w:val="clear" w:color="auto" w:fill="808080"/>
          </w:tcPr>
          <w:p>
            <w:r>
              <w:rPr>
                <w:b/>
                <w:sz w:val="20"/>
              </w:rPr>
              <w:t>Коментари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</w:tcPr>
          <w:p>
            <w:pPr>
              <w:jc w:val="center"/>
            </w:pPr>
          </w:p>
        </w:tc>
        <w:tc>
          <w:tcPr>
            <w:tcW w:w="750" w:type="pct"/>
          </w:tcPr>
          <w:p>
            <w:pPr>
              <w:jc w:val="left"/>
            </w:pPr>
            <w:r>
              <w:t xml:space="preserve">Фирми, получили подпомагане </w:t>
            </w:r>
          </w:p>
        </w:tc>
        <w:tc>
          <w:tcPr>
            <w:tcW w:w="250" w:type="pct"/>
          </w:tcPr>
          <w:p>
            <w:pPr>
              <w:jc w:val="left"/>
            </w:pPr>
            <w:r>
              <w:t>2C+</w:t>
            </w:r>
          </w:p>
        </w:tc>
        <w:tc>
          <w:tcPr>
            <w:tcW w:w="250" w:type="pct"/>
          </w:tcPr>
          <w:p>
            <w:pPr>
              <w:jc w:val="left"/>
            </w:pPr>
            <w:r>
              <w:t>брой</w:t>
            </w:r>
          </w:p>
        </w:tc>
        <w:tc>
          <w:tcPr>
            <w:tcW w:w="500" w:type="pct"/>
          </w:tcPr>
          <w:p>
            <w:pPr>
              <w:jc w:val="right"/>
            </w:pPr>
            <w:r>
              <w:t>120,00</w:t>
            </w:r>
          </w:p>
        </w:tc>
        <w:tc>
          <w:tcPr>
            <w:tcW w:w="500" w:type="pct"/>
          </w:tcPr>
          <w:p>
            <w:pPr>
              <w:jc w:val="right"/>
            </w:pPr>
            <w:r>
              <w:t>6,00</w:t>
            </w:r>
          </w:p>
        </w:tc>
        <w:tc>
          <w:tcPr>
            <w:tcW w:w="2500" w:type="pct"/>
          </w:tcPr>
          <w:p>
            <w:pPr>
              <w:jc w:val="left"/>
            </w:pP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</w:tcPr>
          <w:p>
            <w:pPr>
              <w:jc w:val="center"/>
            </w:pPr>
            <w:r>
              <w:t>Т7</w:t>
            </w:r>
          </w:p>
        </w:tc>
        <w:tc>
          <w:tcPr>
            <w:tcW w:w="750" w:type="pct"/>
          </w:tcPr>
          <w:p>
            <w:pPr>
              <w:jc w:val="left"/>
            </w:pPr>
            <w:r>
              <w:t>Брой на участниците в обучения по Мярка 1 "Трансфер на знания и действия за осведомяване "</w:t>
            </w:r>
          </w:p>
        </w:tc>
        <w:tc>
          <w:tcPr>
            <w:tcW w:w="250" w:type="pct"/>
          </w:tcPr>
          <w:p>
            <w:pPr>
              <w:jc w:val="left"/>
            </w:pPr>
            <w:r>
              <w:t>3B</w:t>
            </w:r>
          </w:p>
        </w:tc>
        <w:tc>
          <w:tcPr>
            <w:tcW w:w="250" w:type="pct"/>
          </w:tcPr>
          <w:p>
            <w:pPr>
              <w:jc w:val="left"/>
            </w:pPr>
            <w:r>
              <w:t>number</w:t>
            </w:r>
          </w:p>
        </w:tc>
        <w:tc>
          <w:tcPr>
            <w:tcW w:w="500" w:type="pct"/>
          </w:tcPr>
          <w:p>
            <w:pPr>
              <w:jc w:val="right"/>
            </w:pPr>
            <w:r>
              <w:t>200,00</w:t>
            </w:r>
          </w:p>
        </w:tc>
        <w:tc>
          <w:tcPr>
            <w:tcW w:w="500" w:type="pct"/>
          </w:tcPr>
          <w:p>
            <w:pPr>
              <w:jc w:val="right"/>
            </w:pPr>
            <w:r>
              <w:t>203,00</w:t>
            </w:r>
          </w:p>
        </w:tc>
        <w:tc>
          <w:tcPr>
            <w:tcW w:w="2500" w:type="pct"/>
          </w:tcPr>
          <w:p>
            <w:pPr>
              <w:jc w:val="left"/>
            </w:pPr>
          </w:p>
        </w:tc>
      </w:tr>
    </w:tbl>
    <w:p>
      <w:pPr>
        <w:jc w:val="left"/>
        <w:rPr>
          <w:b/>
        </w:rPr>
      </w:pPr>
      <w:r>
        <w:rPr>
          <w:b/>
        </w:rPr>
        <w:t>AIR</w:t>
      </w:r>
    </w:p>
    <w:p>
      <w:pPr>
        <w:rPr>
          <w:b w:val="0"/>
        </w:rPr>
      </w:pPr>
      <w:r>
        <w:rPr>
          <w:b w:val="0"/>
        </w:rPr>
        <w:t>Не са дефинирани специфични целеви показатели</w:t>
      </w:r>
    </w:p>
    <w:p>
      <w:pPr>
        <w:rPr>
          <w:b w:val="0"/>
        </w:rPr>
      </w:pPr>
      <w:r>
        <w:rPr>
          <w:b w:val="0"/>
        </w:rPr>
        <w:br w:type="page"/>
      </w:r>
      <w:r>
        <w:rPr>
          <w:b w:val="0"/>
        </w:rPr>
        <w:t>Таблица Ж2: Таблица за специфични резултати</w:t>
      </w:r>
    </w:p>
    <w:p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582"/>
        <w:gridCol w:w="1990"/>
        <w:gridCol w:w="859"/>
        <w:gridCol w:w="1050"/>
        <w:gridCol w:w="987"/>
        <w:gridCol w:w="1299"/>
        <w:gridCol w:w="1412"/>
        <w:gridCol w:w="2241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</w:p>
        </w:tc>
        <w:tc>
          <w:tcPr>
            <w:tcW w:w="100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на показателя за изпълнението</w:t>
            </w:r>
          </w:p>
        </w:tc>
        <w:tc>
          <w:tcPr>
            <w:tcW w:w="2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Мярка</w:t>
            </w:r>
          </w:p>
        </w:tc>
        <w:tc>
          <w:tcPr>
            <w:tcW w:w="2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Област с поставен акцент</w:t>
            </w:r>
          </w:p>
        </w:tc>
        <w:tc>
          <w:tcPr>
            <w:tcW w:w="2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Мерна единица </w:t>
            </w:r>
          </w:p>
        </w:tc>
        <w:tc>
          <w:tcPr>
            <w:tcW w:w="25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Планирано изпълнение</w:t>
            </w:r>
          </w:p>
        </w:tc>
        <w:tc>
          <w:tcPr>
            <w:tcW w:w="500" w:type="pct"/>
            <w:shd w:val="clear" w:color="auto" w:fill="808080"/>
          </w:tcPr>
          <w:p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2022</w:t>
            </w:r>
          </w:p>
        </w:tc>
        <w:tc>
          <w:tcPr>
            <w:tcW w:w="2500" w:type="pct"/>
            <w:shd w:val="clear" w:color="auto" w:fill="808080"/>
          </w:tcPr>
          <w:p>
            <w:r>
              <w:rPr>
                <w:b/>
                <w:sz w:val="20"/>
              </w:rPr>
              <w:t>Коментари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</w:tcPr>
          <w:p>
            <w:pPr>
              <w:jc w:val="center"/>
            </w:pPr>
          </w:p>
        </w:tc>
        <w:tc>
          <w:tcPr>
            <w:tcW w:w="750" w:type="pct"/>
          </w:tcPr>
          <w:p>
            <w:pPr>
              <w:jc w:val="left"/>
            </w:pPr>
            <w:r>
              <w:t>Брой операции, получаващи подкрепа за инвестиции (в земеделски стопанства, за преработка и търговия със селскостопански продукти) (4.2 )</w:t>
            </w:r>
          </w:p>
        </w:tc>
        <w:tc>
          <w:tcPr>
            <w:tcW w:w="250" w:type="pct"/>
          </w:tcPr>
          <w:p>
            <w:pPr>
              <w:jc w:val="left"/>
            </w:pPr>
            <w:r>
              <w:t>M04</w:t>
            </w:r>
          </w:p>
        </w:tc>
        <w:tc>
          <w:tcPr>
            <w:tcW w:w="500" w:type="pct"/>
          </w:tcPr>
          <w:p>
            <w:pPr>
              <w:jc w:val="left"/>
            </w:pPr>
            <w:r>
              <w:t>5B</w:t>
            </w:r>
          </w:p>
        </w:tc>
        <w:tc>
          <w:tcPr>
            <w:tcW w:w="250" w:type="pct"/>
          </w:tcPr>
          <w:p>
            <w:pPr>
              <w:jc w:val="left"/>
            </w:pPr>
            <w:r>
              <w:t>броя</w:t>
            </w:r>
          </w:p>
        </w:tc>
        <w:tc>
          <w:tcPr>
            <w:tcW w:w="500" w:type="pct"/>
          </w:tcPr>
          <w:p>
            <w:pPr>
              <w:jc w:val="right"/>
            </w:pPr>
            <w:r>
              <w:t>100,00</w:t>
            </w:r>
          </w:p>
        </w:tc>
        <w:tc>
          <w:tcPr>
            <w:tcW w:w="500" w:type="pct"/>
          </w:tcPr>
          <w:p>
            <w:pPr>
              <w:jc w:val="right"/>
            </w:pPr>
          </w:p>
        </w:tc>
        <w:tc>
          <w:tcPr>
            <w:tcW w:w="2000" w:type="pct"/>
          </w:tcPr>
          <w:p>
            <w:pPr>
              <w:jc w:val="left"/>
            </w:pPr>
          </w:p>
        </w:tc>
      </w:tr>
    </w:tbl>
    <w:p>
      <w:pPr>
        <w:jc w:val="left"/>
        <w:rPr>
          <w:b/>
        </w:rPr>
      </w:pPr>
      <w:r>
        <w:rPr>
          <w:b/>
        </w:rPr>
        <w:t>AIR</w:t>
      </w:r>
    </w:p>
    <w:p>
      <w:pPr>
        <w:rPr>
          <w:b w:val="0"/>
        </w:rPr>
      </w:pPr>
      <w:r>
        <w:rPr>
          <w:b w:val="0"/>
        </w:rPr>
        <w:t>Не са дефинирани специфични показатели за изпълнението</w:t>
      </w:r>
    </w:p>
    <w:p>
      <w:pPr>
        <w:rPr>
          <w:b w:val="0"/>
        </w:rPr>
        <w:sectPr>
          <w:type w:val="nextPage"/>
          <w:pgSz w:w="12240" w:h="15840" w:orient="portrait"/>
          <w:pgMar w:top="900" w:right="900" w:bottom="900" w:left="900" w:header="720" w:footer="720"/>
          <w:cols w:space="720"/>
        </w:sectPr>
      </w:pPr>
      <w:r>
        <w:rPr>
          <w:b w:val="0"/>
        </w:rPr>
        <w:br w:type="page"/>
      </w:r>
    </w:p>
    <w:p>
      <w:pPr>
        <w:pStyle w:val="Heading1"/>
        <w:rPr>
          <w:b w:val="0"/>
          <w:sz w:val="28"/>
        </w:rPr>
      </w:pPr>
      <w:bookmarkStart w:id="8" w:name="_Toc256000008"/>
      <w:r>
        <w:rPr>
          <w:b w:val="0"/>
          <w:sz w:val="28"/>
        </w:rPr>
        <w:t>Легенда</w:t>
      </w:r>
      <w:bookmarkEnd w:id="8"/>
    </w:p>
    <w:p>
      <w:pPr>
        <w:rPr>
          <w:b/>
          <w:sz w:val="28"/>
        </w:rPr>
      </w:pPr>
      <w:r>
        <w:rPr>
          <w:b/>
          <w:sz w:val="28"/>
        </w:rPr>
        <w:t>Приоритет/Област с поставен акцент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490"/>
        <w:gridCol w:w="863"/>
        <w:gridCol w:w="930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2000" w:type="pct"/>
            <w:gridSpan w:val="3"/>
          </w:tcPr>
          <w:p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P1: Стимулиране на трансфера на знания и иновациите в областта на селското и горското стопанство и селските райони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1А) Стимулиране на иновациите, сътрудничеството и развитието на базата от знания в селските райони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1Б) Укрепване на връзките между селското стопанство, производството на храни, горското стопанство и научноизследователската дейност и иновациите, включително с цел подобряване на екологичното управление и екологичните показатели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1В) поощряване на ученето през целия живот и професионалното обучение в секторите на селското и горското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P2: Подобряване на жизнеспособността на стопанствата и конкурентоспособността на всички видове земеделие във всички региони; насърчаване на новаторски селскостопански технологии и устойчивото управление на горите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2C+) Подобряване на икономическите резултати на фирмите в горското стопанство, дърводобива и първичната преработка на дървесина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2А) Подобряване на икономическите резултати на всички земеделски стопанства и улесняване на преструктурирането и модернизирането на стопанствата, особено с оглед на увеличаването на пазарното участие и ориентация и на разнообразяването в селското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2Б) Улесняване на навлизането на земеделски стопани с подходяща квалификация в селскостопанския сектор, и по-специално приемствеността между поколенията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P3: Насърчаване на добро организиране на хранителната верига, в т.ч. преработката и търговията със селскостопански продукти, хуманното отношение към животните и управлението на риска в селското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 3A) Подобряване на конкурентоспособността на първичните производители чрез по-доброто им интегриране в селскостопанската и хранителната верига посредством схеми за качество, които да добавят стойност към селскостопанските продукти, популяризиране на местните пазари и къси вериги на доставки, групи на производителите и организации и междубраншови организации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3Б) Подпомагане на превенцията и управлението на риска на стопанствата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P4: Възстановяване, опазване и укрепване на екосистемите, свързани със селското и горското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4А) Възстановяване, опазване и укрепване на биологичното разнообразие, включително в зони по „Натура 2000“ и в зони с природни или други специфични ограничения и земеделие с висока природна стойност, както и на състоянието на европейските ландшафти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4Б) Подобряване управлението на водите, включително управлението на торовете и пестицидите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4В) Предотвратяване на ерозията на почвите и подобряване на управлението им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P5: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стопанство, сектора на храните и горското стопанство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5А) Повишаване на ефективността при потреблението на вода в селското стопанство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5Б) Повишаване на ефективността при потреблението на енергия в селското стопанство и хранително-вкусовата промишленост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5В) Улесняване на доставките и използването на възобновяеми източници на енергия, на странични продукти, отпадъци и остатъци, и други нехранителни суровини за целите на биоикономиката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5Г) Намаляване на емисиите на парникови газове и амоняк от селското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5Д) Стимулиране на съхраняването и поглъщането на въглерода в сектора на селското и горското стопанство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P6: Насърчаване на социалното приобщаване, намаляването на бедността и икономическото развитие в селските райони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6А) Улесняване на разнообразяването, създаването и развитието на малки предприятия, както и разкриването на работни места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6Б) Стимулиране на местното развитие в селските райони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6В) Подобряване на достъпа до информационни и комуникационни технологии (ИКТ), използването и качеството им в селските райони</w:t>
            </w:r>
          </w:p>
        </w:tc>
      </w:tr>
    </w:tbl>
    <w:p>
      <w:pPr>
        <w:spacing w:before="60" w:after="60"/>
        <w:rPr>
          <w:b/>
          <w:sz w:val="28"/>
        </w:rPr>
      </w:pPr>
      <w:r>
        <w:rPr>
          <w:b/>
          <w:sz w:val="20"/>
        </w:rPr>
        <w:br w:type="page"/>
      </w:r>
      <w:r>
        <w:rPr>
          <w:b/>
          <w:sz w:val="28"/>
        </w:rPr>
        <w:t>Мярка/Подмярка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490"/>
        <w:gridCol w:w="863"/>
        <w:gridCol w:w="930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М01 — Трансфер на знания и действия за осведомяване (член 14)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M1.1 — подкрепа за дейности за професионално обучение и придобиване на умения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M1.2 — подпомагане за демонстрационни дейности и действия за осведомяване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M1.3 — подкрепата може да обхваща и краткосрочен обмен на опит в управлението на земеделски и горски стопанства, както и посещения на земеделски и горски стопанства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М02 —  Консултантски услуги, услуги по управление на стопанство и услуги по заместване в стопанство (член 15)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M2.1 — подкрепа, насочена към възможностите за ползване на консултантски услуги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M2.2 — подкрепа за въвеждането на услуги по управление на стопанства, услуги по заместване в стопанства и консултантски услуги в областта на селското стопанство, както и в областта на горското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M2.3 — подкрепа за обучение на консултанти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M03 — Схеми за качеството за селскостопански продукти и храни (член 16)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M3.1 — подпомагане с цел първо присъединяване към схеми за качество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M3.2 — подкрепа, насочена към дейности за предоставяне на информация и популяризиране, осъществявани от групи производители на вътрешния пазар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M04 — Инвестиции в материални активи (член 17)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M4.1 — подкрепа за инвестиции в земеделски стопанства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M4.2 — подкрепа за инвестиции в преработката, предлагането на пазара и/или развитието на селскостопански продукти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M4.3 — подкрепа за инвестиции в инфраструктура, свързана с развитието, модернизирането или адаптирането на селското и горското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M4.4 — подкрепа за инвестиции в непроизводствени дейности, свързани с постигане на агроекологичните цели и целите в областта на климата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 xml:space="preserve">M05 Възстановяване на потенциала за селскостопанска продукция, претърпял щети в резултат на природни бедствия или катастрофични събития, и въвеждане на подходящи превантивни мерки (член 18)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M5.1. - подкрепа за инвестиции в превантивни мерки, насочени към ограничаване на последствията от вероятни природни бедствия, неблагоприятни климатични явления и катастрофични събития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M5.2 - инвестиции за възстановяване на потенциала на земеделските земи и на селскостопанския производствен потенциал, нарушени от природни бедствия, неблагоприятни климатични явления и катастрофични събития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M06 — Развитие на стопанства и предприятия (член 19)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M6.1 — помощ при стартиране за млади земеделски стопани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M6.2 — помощ при стартиране за неселскостопански дейности в селските райони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M6.3 — помощ при стартиране за развитието на малки стопанства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M6.4 — подкрепа за инвестиции в установяването и развитието на неселскостопански дейности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M6.5 — плащания на земеделски стопани, отговарящи на условията по схемата за дребни земеделски стопани, които трайно прехвърлят стопанството си на друг земеделски стопанин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М07 — Основни услуги и обновяване на селата в селските райони (член 20)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M7.1 —  подкрепа за изготвяне и актуализиране на планове за развитие на общините и селата в селските райони и на техните основни услуги и на планове за защита и управление, отнасящи се до обекти по „Натура 2000“ и други райони с висока природна стойност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M7.2 — подкрепа за инвестиции в създаването, подобряването или разширяването на всички видове малка по мащаби инфраструктура, включително инвестиции в енергия от възобновяеми източници и спестяване на енергия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M7.3 — подкрепа за широколентова инфраструктура, включително нейното създаване, подобрение и разширяване, пасивна широколентова инфраструктура и мерки за достъп до решения чрез широколентова инфраструктура и електронно правителство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M7.4 — подкрепа за инвестиции в създаването, подобряването или разширяването на основни услуги на местно равнище за населението в селските райони, включително за отдих и културни дейности, както и на съответната инфраструктура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M7.5 — подкрепа за публично ползване в инфраструктура за отдих, туристическа информация и малка по мащаб туристическа инфраструктура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M7.6 - подпомагане за проучвания и инвестиции, свързани с поддържане, възстановяване и подобряване на културното и природното наследство на села, ландшафта в селски райони и обекти с висока природна стойност, включително съответните социално-икономически аспекти, както и действия за повишаване на информираността по екологични въпроси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M7.7 — подкрепа за инвестиции, чиято цел е преместването на дейности и преустройството на сгради или други съоръжения, разположени във или в близост до населени места от селски тип, с оглед подобряване на качеството на живот или повишаване на екологичната ефективност на населеното място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M7.8 — други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М08 — Инвестиции в развитие на горските райони и подобряване на жизнеспособността на горите (членове 21 — 26)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M8.1 - подпомагане за залесяване и създаване на горски масиви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M8.2 — подпомагане за създаване на агролесовъдни системи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M8.3 — подпомагане за предотвратяване на щети по горите от горски пожари, природни бедствия и катастрофични събития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M8.4 — подпомагане за възстановяване на щети по горите от горски пожари, природни бедствия и катастрофични събития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M8.5 — подпомагане за инвестиции за подобряване на устойчивостта и екологичната стойност на горските екосистеми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M8.6 — подпомагане за инвестиции в технологии за лесовъдство и в преработката, мобилизирането и търговията на горски продукти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M09 — Създаване на групи и организации на производителите (член 27)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M9.1 — учредяване на групи и организации на производителите в секторите на селското и горското стопанство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M10 — Агроекология и климат (член 28)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M10.1 — плащания за ангажименти за агроекология и климат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M10.2 — подкрепа за опазване и устойчиво използване и развитие на генетичните ресурси в земеделието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М11 — Биологично земеделие (член 29)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M11.1 — плащания за преминаване към практики и методи за биологично земеделие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M11.2 — плащания за поддържане на практики и методи за биологично земеделие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M12 — Плащания по „Натура 2000“ и Рамковата директива за водите (член 30)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M12.1 — компенсационни плащания по „Натура 2000“ за земеделски площи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M12.2 — компенсационни плащания по „Натура 2000“ за горски райони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M12.3 — компенсационни плащания за селскостопански райони, включени в плановете за управление на речните басейни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М13 — Плащания за райони, изправени пред природни или други специфични ограничения (член 31)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M13.1 — компенсационни плащания за земеделски стопани в планински райони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M13.2 — компенсационни плащания за други райони, засегнати от значителни природни ограничения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M13.3 — компенсационни плащания за други райони, засегнати от специфични ограничения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M14 — Хуманно отношение към животните (член 33)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M14.1 — плащания за хуманно отношение към животните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М15 — Екологични услуги и услуги във връзка с климата в горското стопанство и опазване на горите (член 34)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M15.1 - плащания за ангажименти по опазване на околната среда в горите и ангажименти в областта на климата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M15.2 — подпомагане за опазването и укрепването на генетичните ресурси в горските стопанства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M16 — Сътрудничество (член 35)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M16.0 — други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M16.1 — подкрепа за сформиране и функциониране на оперативни групи в рамките на ЕПИ за селскостопанска производителност и устойчивост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M16.2 — подпомагане за пилотни проекти и за разработване на нови продукти, практики, процеси и технологии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M16.3 — (друг вид) сътрудничество между малки икономически оператори за организиране на съвместни работни процеси и за споделяне на оборудване и ресурси, и за разработване и пазарна реализация на туристически услуги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M16.4 —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популяризиране, свързани с развитието на късите вериги на доставки и местните пазари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M16.5 — подпомагане за предприемане на съвместни действия с оглед смекчаване или адаптиране към последиците от изменението на климата и за съвместни подходи към екологични проекти и съществуващи екологични практики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M16.6 — подкрепа за сътрудничество между участниците във веригата на доставки за устойчиво доставяне на биомаса за приложение в производството на храни и енергия и в промишлени процеси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M16.7 — подкрепа за стратегии за местно развитие, различни от воденото от общностите местно развитие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M16.8 — подкрепа за изготвяне на планове за управление на горите или еквивалентни инструменти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M16.9 — подкрепа за разнообразяване на селскостопанските дейности към дейности, свързани със здравеопазване, социална интеграция, поддържана от общността селскостопанска дейност и образователна дейност за околната среда и храните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М17 — Управление на риска (член 36)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M17.1 — премии за застраховка на реколтата, животните и растенията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M17.2 —  взаимоспомагателни фондове в случай на неблагоприятни климатични явления, поява на болест по животните или по растенията, нашествие на вредители или екологични инциденти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M17.3 — инструмент за стабилизиране на доходите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М18 — Финансиране на допълнителни национални директни плащания за Хърватия (член 40)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 xml:space="preserve">M18 — Финансиране на допълнителни национални директни плащания за Хърватия 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M19 — Подкрепа за местно развитие по LEADER (ВОМР — водено от общностите местно развитие) (член 35 от Регламент (ЕС) № 1303/2013)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M19.1 — подготвително подпомагане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M19.2 — подпомагане за операции в рамките на стратегията за водено от общностите местно развитие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M19.3 — подготовка и изпълнение на дейности за сътрудничество на местните групи за действие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M19.4 — подпомагане за текущи разходи и разходи за съживяване на района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М20 — Техническа помощ държави членки (членове 51 — 54)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M20.1 - подпомагане за техническа помощ (различна от НМСР)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gridSpan w:val="2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M20.2 — подпомагане за създаването и привеждането в действие на НМСР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М21 — Извънредно временно подпомагане за земеделските стопани и МСП, които са особено засегнати от извънредното положение във връзка с COVID-19 (член 39, буква б)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MМ21 — Извънредно временно подпомагане за земеделските стопани и МСП, които са особено засегнати от извънредното положение във връзка с COVID-19 (член 39, буква б)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M22 — Извънредна временна подкрепа за земеделските стопани и МСП, които са особено засегнати от последиците от нахлуването на Русия в Украйна (член 39г)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250" w:type="pct"/>
            <w:gridSpan w:val="2"/>
            <w:tcBorders>
              <w:righ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M22.1 Извънредна временна подкрепа за земеделските стопани и МСП, които са особено засегнати от последиците от нахлуването на Русия в Украйна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М113 — Ранно пенсиониране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М131 — Спазване на стандартите, основани на законодателството на Общността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4750" w:type="pct"/>
            <w:gridSpan w:val="3"/>
          </w:tcPr>
          <w:p>
            <w:pPr>
              <w:spacing w:before="60" w:after="60"/>
              <w:rPr>
                <w:b w:val="0"/>
                <w:sz w:val="20"/>
              </w:rPr>
            </w:pPr>
            <w:r>
              <w:rPr>
                <w:b/>
                <w:sz w:val="20"/>
              </w:rPr>
              <w:t>М341 — Придобиване на умения, стимулиране на интерес и изпълнение</w:t>
            </w:r>
          </w:p>
        </w:tc>
      </w:tr>
    </w:tbl>
    <w:p>
      <w:pPr>
        <w:spacing w:before="60" w:after="60"/>
        <w:rPr>
          <w:b/>
          <w:sz w:val="20"/>
        </w:rPr>
      </w:pPr>
    </w:p>
    <w:sectPr>
      <w:type w:val="nextPage"/>
      <w:pgSz w:w="12240" w:h="15840" w:orient="portrait"/>
      <w:pgMar w:top="900" w:right="900" w:bottom="900" w:left="900" w:header="720" w:footer="72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D20327AD-CA23-4D33-8606-D67F3E5573ED}"/>
    <w:embedBold r:id="rId2" w:fontKey="{12718178-8219-4418-8572-A190C1457EA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3" w:fontKey="{17BA8D2C-471A-4815-A175-C02E7FFD095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90EF639B-BEF5-440E-A6CD-37942C4F26F9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5" w:fontKey="{D4CEFCEA-79C9-4BEC-9BEB-411F5F832FA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94444EC-B812-4A8F-8C89-A30B8E61B2E7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EC8D1694-A648-49A1-A86D-B1656F6F8F4B}"/>
  </w:font>
  <w:font w:name="Cambria">
    <w:charset w:val="00"/>
    <w:family w:val="auto"/>
    <w:pitch w:val="default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1E0A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136</w:t>
    </w:r>
    <w: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1E0A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D13A4">
      <w:rPr>
        <w:noProof/>
      </w:rPr>
      <w:t>1</w:t>
    </w:r>
    <w:r>
      <w:rPr>
        <w:noProof/>
      </w:rPr>
      <w:fldChar w:fldCharType="end"/>
    </w:r>
  </w:p>
  <w:p w:rsidR="00B21E0A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1E0A" w:rsidRPr="004551CD">
    <w:pPr>
      <w:pStyle w:val="Header"/>
      <w:spacing w:after="0"/>
      <w:rPr>
        <w:lang w:val="fr-BE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EA58E78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80"/>
    <w:multiLevelType w:val="singleLevel"/>
    <w:tmpl w:val="E7A64A6A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1B1530A4"/>
    <w:multiLevelType w:val="multilevel"/>
    <w:tmpl w:val="8CE23BCC"/>
    <w:lvl w:ilvl="0">
      <w:start w:val="1"/>
      <w:numFmt w:val="decimal"/>
      <w:pStyle w:val="ListNumber2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2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2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2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1C7B624F"/>
    <w:multiLevelType w:val="singleLevel"/>
    <w:tmpl w:val="55144760"/>
    <w:name w:val="List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4">
    <w:nsid w:val="22DD3599"/>
    <w:multiLevelType w:val="multilevel"/>
    <w:tmpl w:val="4EAA5BA6"/>
    <w:lvl w:ilvl="0">
      <w:start w:val="1"/>
      <w:numFmt w:val="decimal"/>
      <w:pStyle w:val="ListNumber"/>
      <w:lvlText w:val="(%1)"/>
      <w:lvlJc w:val="left"/>
      <w:pPr>
        <w:tabs>
          <w:tab w:val="num" w:pos="709"/>
        </w:tabs>
        <w:ind w:left="709" w:hanging="709"/>
      </w:pPr>
    </w:lvl>
    <w:lvl w:ilvl="1">
      <w:start w:val="1"/>
      <w:numFmt w:val="lowerLetter"/>
      <w:pStyle w:val="ListNumberLevel2"/>
      <w:lvlText w:val="(%2)"/>
      <w:lvlJc w:val="left"/>
      <w:pPr>
        <w:tabs>
          <w:tab w:val="num" w:pos="1417"/>
        </w:tabs>
        <w:ind w:left="1417" w:hanging="708"/>
      </w:pPr>
    </w:lvl>
    <w:lvl w:ilvl="2">
      <w:start w:val="1"/>
      <w:numFmt w:val="bullet"/>
      <w:pStyle w:val="ListNumberLevel3"/>
      <w:lvlText w:val="–"/>
      <w:lvlJc w:val="left"/>
      <w:pPr>
        <w:tabs>
          <w:tab w:val="num" w:pos="2126"/>
        </w:tabs>
        <w:ind w:left="2126" w:hanging="709"/>
      </w:pPr>
      <w:rPr>
        <w:rFonts w:ascii="Times New Roman" w:hAnsi="Times New Roman"/>
      </w:rPr>
    </w:lvl>
    <w:lvl w:ilvl="3">
      <w:start w:val="1"/>
      <w:numFmt w:val="bullet"/>
      <w:pStyle w:val="ListNumberLevel4"/>
      <w:lvlText w:val=""/>
      <w:lvlJc w:val="left"/>
      <w:pPr>
        <w:tabs>
          <w:tab w:val="num" w:pos="2835"/>
        </w:tabs>
        <w:ind w:left="2835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2B75631B"/>
    <w:multiLevelType w:val="singleLevel"/>
    <w:tmpl w:val="A4DC141A"/>
    <w:lvl w:ilvl="0">
      <w:start w:val="1"/>
      <w:numFmt w:val="bullet"/>
      <w:pStyle w:val="List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6">
    <w:nsid w:val="2CAB4527"/>
    <w:multiLevelType w:val="multilevel"/>
    <w:tmpl w:val="26C24C12"/>
    <w:lvl w:ilvl="0">
      <w:start w:val="1"/>
      <w:numFmt w:val="decimal"/>
      <w:pStyle w:val="ListNumber3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3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3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3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>
    <w:nsid w:val="34293F3F"/>
    <w:multiLevelType w:val="singleLevel"/>
    <w:tmpl w:val="B074E4EC"/>
    <w:lvl w:ilvl="0">
      <w:start w:val="1"/>
      <w:numFmt w:val="bullet"/>
      <w:pStyle w:val="ListDash"/>
      <w:lvlText w:val="–"/>
      <w:lvlJc w:val="left"/>
      <w:pPr>
        <w:tabs>
          <w:tab w:val="num" w:pos="283"/>
        </w:tabs>
        <w:ind w:left="283" w:hanging="283"/>
      </w:pPr>
      <w:rPr>
        <w:rFonts w:ascii="Times New Roman" w:hAnsi="Times New Roman"/>
      </w:rPr>
    </w:lvl>
  </w:abstractNum>
  <w:abstractNum w:abstractNumId="8">
    <w:nsid w:val="358B6119"/>
    <w:multiLevelType w:val="multilevel"/>
    <w:tmpl w:val="A8BA546C"/>
    <w:lvl w:ilvl="0">
      <w:start w:val="1"/>
      <w:numFmt w:val="decimal"/>
      <w:pStyle w:val="ListNumber1"/>
      <w:lvlText w:val="(%1)"/>
      <w:lvlJc w:val="left"/>
      <w:pPr>
        <w:tabs>
          <w:tab w:val="num" w:pos="1191"/>
        </w:tabs>
        <w:ind w:left="1191" w:hanging="709"/>
      </w:pPr>
    </w:lvl>
    <w:lvl w:ilvl="1">
      <w:start w:val="1"/>
      <w:numFmt w:val="lowerLetter"/>
      <w:pStyle w:val="ListNumber1Level2"/>
      <w:lvlText w:val="(%2)"/>
      <w:lvlJc w:val="left"/>
      <w:pPr>
        <w:tabs>
          <w:tab w:val="num" w:pos="1899"/>
        </w:tabs>
        <w:ind w:left="1899" w:hanging="708"/>
      </w:pPr>
    </w:lvl>
    <w:lvl w:ilvl="2">
      <w:start w:val="1"/>
      <w:numFmt w:val="bullet"/>
      <w:pStyle w:val="ListNumber1Level3"/>
      <w:lvlText w:val="–"/>
      <w:lvlJc w:val="left"/>
      <w:pPr>
        <w:tabs>
          <w:tab w:val="num" w:pos="2608"/>
        </w:tabs>
        <w:ind w:left="2608" w:hanging="709"/>
      </w:pPr>
      <w:rPr>
        <w:rFonts w:ascii="Times New Roman" w:hAnsi="Times New Roman"/>
      </w:rPr>
    </w:lvl>
    <w:lvl w:ilvl="3">
      <w:start w:val="1"/>
      <w:numFmt w:val="bullet"/>
      <w:pStyle w:val="ListNumber1Level4"/>
      <w:lvlText w:val=""/>
      <w:lvlJc w:val="left"/>
      <w:pPr>
        <w:tabs>
          <w:tab w:val="num" w:pos="3317"/>
        </w:tabs>
        <w:ind w:left="331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>
    <w:nsid w:val="36324F1E"/>
    <w:multiLevelType w:val="singleLevel"/>
    <w:tmpl w:val="E7764108"/>
    <w:name w:val="List 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0">
    <w:nsid w:val="37CB1E1C"/>
    <w:multiLevelType w:val="singleLevel"/>
    <w:tmpl w:val="628C12D0"/>
    <w:name w:val="List Dash 1223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1">
    <w:nsid w:val="3AFB6DC8"/>
    <w:multiLevelType w:val="singleLevel"/>
    <w:tmpl w:val="D97CFDF8"/>
    <w:lvl w:ilvl="0">
      <w:start w:val="1"/>
      <w:numFmt w:val="bullet"/>
      <w:pStyle w:val="ListBullet2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12">
    <w:nsid w:val="3CF00E18"/>
    <w:multiLevelType w:val="singleLevel"/>
    <w:tmpl w:val="4E1A982C"/>
    <w:lvl w:ilvl="0">
      <w:start w:val="1"/>
      <w:numFmt w:val="bullet"/>
      <w:pStyle w:val="List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</w:abstractNum>
  <w:abstractNum w:abstractNumId="13">
    <w:nsid w:val="46113D4F"/>
    <w:multiLevelType w:val="singleLevel"/>
    <w:tmpl w:val="A3323CB8"/>
    <w:lvl w:ilvl="0">
      <w:start w:val="1"/>
      <w:numFmt w:val="bullet"/>
      <w:pStyle w:val="ListDash3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4">
    <w:nsid w:val="52264ABD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53436603"/>
    <w:multiLevelType w:val="multilevel"/>
    <w:tmpl w:val="C23052C8"/>
    <w:lvl w:ilvl="0">
      <w:start w:val="1"/>
      <w:numFmt w:val="decimal"/>
      <w:pStyle w:val="Heading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pStyle w:val="Heading2"/>
      <w:suff w:val="space"/>
      <w:lvlText w:val="%1.%2)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pStyle w:val="Heading3"/>
      <w:suff w:val="space"/>
      <w:lvlText w:val="%1.%2%3)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lowerLetter"/>
      <w:pStyle w:val="Heading4"/>
      <w:suff w:val="space"/>
      <w:lvlText w:val="%1.%2%3.%4)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Heading5"/>
      <w:suff w:val="space"/>
      <w:lvlText w:val="%1.%2%3.%4%5)"/>
      <w:lvlJc w:val="left"/>
      <w:pPr>
        <w:ind w:left="0" w:firstLine="0"/>
      </w:pPr>
      <w:rPr>
        <w:rFonts w:hint="default"/>
      </w:rPr>
    </w:lvl>
    <w:lvl w:ilvl="5">
      <w:start w:val="1"/>
      <w:numFmt w:val="lowerLetter"/>
      <w:pStyle w:val="Heading6"/>
      <w:suff w:val="space"/>
      <w:lvlText w:val="%1.%2%3.%4%5.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Heading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pStyle w:val="Heading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Heading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6">
    <w:nsid w:val="54D10AB0"/>
    <w:multiLevelType w:val="singleLevel"/>
    <w:tmpl w:val="5B50620E"/>
    <w:lvl w:ilvl="0">
      <w:start w:val="1"/>
      <w:numFmt w:val="bullet"/>
      <w:pStyle w:val="ListDash4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7">
    <w:nsid w:val="57594894"/>
    <w:multiLevelType w:val="multilevel"/>
    <w:tmpl w:val="A09AD310"/>
    <w:styleLink w:val="Headings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8">
    <w:nsid w:val="5B8B1E96"/>
    <w:multiLevelType w:val="multilevel"/>
    <w:tmpl w:val="C3AAD27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5C405D49"/>
    <w:multiLevelType w:val="multilevel"/>
    <w:tmpl w:val="E3AE3AA0"/>
    <w:numStyleLink w:val="Headings"/>
  </w:abstractNum>
  <w:abstractNum w:abstractNumId="20">
    <w:nsid w:val="5E0D6286"/>
    <w:multiLevelType w:val="singleLevel"/>
    <w:tmpl w:val="B0567122"/>
    <w:lvl w:ilvl="0">
      <w:start w:val="1"/>
      <w:numFmt w:val="bullet"/>
      <w:pStyle w:val="ListDash2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21">
    <w:nsid w:val="6057433F"/>
    <w:multiLevelType w:val="singleLevel"/>
    <w:tmpl w:val="3D5ECD48"/>
    <w:lvl w:ilvl="0">
      <w:start w:val="1"/>
      <w:numFmt w:val="bullet"/>
      <w:pStyle w:val="ListDash1"/>
      <w:lvlText w:val="–"/>
      <w:lvlJc w:val="left"/>
      <w:pPr>
        <w:tabs>
          <w:tab w:val="num" w:pos="765"/>
        </w:tabs>
        <w:ind w:left="765" w:hanging="283"/>
      </w:pPr>
      <w:rPr>
        <w:rFonts w:ascii="Times New Roman" w:hAnsi="Times New Roman"/>
      </w:rPr>
    </w:lvl>
  </w:abstractNum>
  <w:abstractNum w:abstractNumId="22">
    <w:nsid w:val="620F2440"/>
    <w:multiLevelType w:val="singleLevel"/>
    <w:tmpl w:val="6860A420"/>
    <w:lvl w:ilvl="0">
      <w:start w:val="1"/>
      <w:numFmt w:val="bullet"/>
      <w:pStyle w:val="ListBullet3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3">
    <w:nsid w:val="6DF118C0"/>
    <w:multiLevelType w:val="singleLevel"/>
    <w:tmpl w:val="B90C8B88"/>
    <w:lvl w:ilvl="0">
      <w:start w:val="1"/>
      <w:numFmt w:val="bullet"/>
      <w:pStyle w:val="ListBullet4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4">
    <w:nsid w:val="6E190441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>
    <w:nsid w:val="722304D7"/>
    <w:multiLevelType w:val="multilevel"/>
    <w:tmpl w:val="9DE2758E"/>
    <w:lvl w:ilvl="0">
      <w:start w:val="1"/>
      <w:numFmt w:val="decimal"/>
      <w:pStyle w:val="ListNumber4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4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4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4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1"/>
  </w:num>
  <w:num w:numId="2">
    <w:abstractNumId w:val="0"/>
  </w:num>
  <w:num w:numId="3">
    <w:abstractNumId w:val="12"/>
  </w:num>
  <w:num w:numId="4">
    <w:abstractNumId w:val="5"/>
  </w:num>
  <w:num w:numId="5">
    <w:abstractNumId w:val="11"/>
  </w:num>
  <w:num w:numId="6">
    <w:abstractNumId w:val="22"/>
  </w:num>
  <w:num w:numId="7">
    <w:abstractNumId w:val="23"/>
  </w:num>
  <w:num w:numId="8">
    <w:abstractNumId w:val="7"/>
  </w:num>
  <w:num w:numId="9">
    <w:abstractNumId w:val="21"/>
  </w:num>
  <w:num w:numId="10">
    <w:abstractNumId w:val="20"/>
  </w:num>
  <w:num w:numId="11">
    <w:abstractNumId w:val="13"/>
  </w:num>
  <w:num w:numId="12">
    <w:abstractNumId w:val="16"/>
  </w:num>
  <w:num w:numId="13">
    <w:abstractNumId w:val="4"/>
  </w:num>
  <w:num w:numId="14">
    <w:abstractNumId w:val="8"/>
  </w:num>
  <w:num w:numId="15">
    <w:abstractNumId w:val="2"/>
  </w:num>
  <w:num w:numId="16">
    <w:abstractNumId w:val="6"/>
  </w:num>
  <w:num w:numId="17">
    <w:abstractNumId w:val="25"/>
  </w:num>
  <w:num w:numId="18">
    <w:abstractNumId w:val="17"/>
  </w:num>
  <w:num w:numId="19">
    <w:abstractNumId w:val="19"/>
  </w:num>
  <w:num w:numId="20">
    <w:abstractNumId w:val="15"/>
  </w:num>
  <w:num w:numId="21">
    <w:abstractNumId w:val="18"/>
  </w:num>
  <w:num w:numId="22">
    <w:abstractNumId w:val="14"/>
  </w:num>
  <w:num w:numId="23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hideSpellingErrors/>
  <w:zoom w:percent="100"/>
  <w:embedTrueTypeFonts/>
  <w:embedSystemFonts/>
  <w:proofState w:grammar="clean"/>
  <w:attachedTemplate r:id="rId1"/>
  <w:stylePaneFormatFilter w:val="3F01"/>
  <w:doNotTrackMoves/>
  <w:defaultTabStop w:val="720"/>
  <w:displayHorizontalDrawingGridEvery w:val="0"/>
  <w:displayVerticalDrawingGridEvery w:val="0"/>
  <w:doNotUseMarginsForDrawingGridOrigin/>
  <w:drawingGridHorizontalOrigin w:val="1701"/>
  <w:drawingGridVerticalOrigin w:val="1984"/>
  <w:noPunctuationKerning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538D8"/>
    <w:rsid w:val="00001E6E"/>
    <w:rsid w:val="000025C7"/>
    <w:rsid w:val="00002B97"/>
    <w:rsid w:val="00011C15"/>
    <w:rsid w:val="00013F30"/>
    <w:rsid w:val="000161D2"/>
    <w:rsid w:val="00027B3A"/>
    <w:rsid w:val="000465D1"/>
    <w:rsid w:val="000509CF"/>
    <w:rsid w:val="00052488"/>
    <w:rsid w:val="0005270A"/>
    <w:rsid w:val="000567D8"/>
    <w:rsid w:val="000610F9"/>
    <w:rsid w:val="000619C8"/>
    <w:rsid w:val="00062C4F"/>
    <w:rsid w:val="00063729"/>
    <w:rsid w:val="0006666A"/>
    <w:rsid w:val="00066936"/>
    <w:rsid w:val="000700A3"/>
    <w:rsid w:val="00070BF2"/>
    <w:rsid w:val="00073100"/>
    <w:rsid w:val="00077D84"/>
    <w:rsid w:val="00084750"/>
    <w:rsid w:val="00094BC2"/>
    <w:rsid w:val="00097749"/>
    <w:rsid w:val="00097AD4"/>
    <w:rsid w:val="000A1ABB"/>
    <w:rsid w:val="000A2719"/>
    <w:rsid w:val="000A3480"/>
    <w:rsid w:val="000A3CD6"/>
    <w:rsid w:val="000A612B"/>
    <w:rsid w:val="000B40D7"/>
    <w:rsid w:val="000B66B5"/>
    <w:rsid w:val="000B76DA"/>
    <w:rsid w:val="000C1FE8"/>
    <w:rsid w:val="000C269C"/>
    <w:rsid w:val="000C2E95"/>
    <w:rsid w:val="000C3217"/>
    <w:rsid w:val="000C494F"/>
    <w:rsid w:val="000C570C"/>
    <w:rsid w:val="000C778E"/>
    <w:rsid w:val="000D1F6A"/>
    <w:rsid w:val="000D49BF"/>
    <w:rsid w:val="000D6FA3"/>
    <w:rsid w:val="000E0B8E"/>
    <w:rsid w:val="000E0F54"/>
    <w:rsid w:val="000E1B5D"/>
    <w:rsid w:val="000E23C9"/>
    <w:rsid w:val="000E4C90"/>
    <w:rsid w:val="000F088C"/>
    <w:rsid w:val="000F1FF8"/>
    <w:rsid w:val="000F288D"/>
    <w:rsid w:val="000F2B29"/>
    <w:rsid w:val="000F4D07"/>
    <w:rsid w:val="000F77B2"/>
    <w:rsid w:val="00102D6F"/>
    <w:rsid w:val="00103CEE"/>
    <w:rsid w:val="00115C88"/>
    <w:rsid w:val="00116DD6"/>
    <w:rsid w:val="00117C66"/>
    <w:rsid w:val="00120799"/>
    <w:rsid w:val="001225A7"/>
    <w:rsid w:val="001233A5"/>
    <w:rsid w:val="00123B0C"/>
    <w:rsid w:val="00124612"/>
    <w:rsid w:val="00126C6E"/>
    <w:rsid w:val="00127FED"/>
    <w:rsid w:val="0013208A"/>
    <w:rsid w:val="00132A62"/>
    <w:rsid w:val="00135D7E"/>
    <w:rsid w:val="00136257"/>
    <w:rsid w:val="001404DA"/>
    <w:rsid w:val="001430E4"/>
    <w:rsid w:val="00147229"/>
    <w:rsid w:val="00153C72"/>
    <w:rsid w:val="00157E5A"/>
    <w:rsid w:val="00162E7B"/>
    <w:rsid w:val="00164810"/>
    <w:rsid w:val="00164D2A"/>
    <w:rsid w:val="001659FC"/>
    <w:rsid w:val="001677EA"/>
    <w:rsid w:val="00167F92"/>
    <w:rsid w:val="00170CD8"/>
    <w:rsid w:val="00171825"/>
    <w:rsid w:val="00171EBD"/>
    <w:rsid w:val="001755F5"/>
    <w:rsid w:val="00180BE9"/>
    <w:rsid w:val="001810DA"/>
    <w:rsid w:val="00192821"/>
    <w:rsid w:val="001934ED"/>
    <w:rsid w:val="00196DE7"/>
    <w:rsid w:val="001A0B3E"/>
    <w:rsid w:val="001A0F53"/>
    <w:rsid w:val="001A115C"/>
    <w:rsid w:val="001A6E77"/>
    <w:rsid w:val="001B284B"/>
    <w:rsid w:val="001B3243"/>
    <w:rsid w:val="001B4816"/>
    <w:rsid w:val="001B6D5B"/>
    <w:rsid w:val="001C0105"/>
    <w:rsid w:val="001C2C04"/>
    <w:rsid w:val="001C727B"/>
    <w:rsid w:val="001D0303"/>
    <w:rsid w:val="001D094F"/>
    <w:rsid w:val="001D32CC"/>
    <w:rsid w:val="001D35C9"/>
    <w:rsid w:val="001D534D"/>
    <w:rsid w:val="001D7835"/>
    <w:rsid w:val="001E1B85"/>
    <w:rsid w:val="001E1D5A"/>
    <w:rsid w:val="001F10DC"/>
    <w:rsid w:val="001F159E"/>
    <w:rsid w:val="001F4D52"/>
    <w:rsid w:val="001F7091"/>
    <w:rsid w:val="002031B8"/>
    <w:rsid w:val="00211D52"/>
    <w:rsid w:val="00213D61"/>
    <w:rsid w:val="00213F7E"/>
    <w:rsid w:val="00214CBA"/>
    <w:rsid w:val="0022049F"/>
    <w:rsid w:val="002217EF"/>
    <w:rsid w:val="002249E9"/>
    <w:rsid w:val="00230797"/>
    <w:rsid w:val="002318C0"/>
    <w:rsid w:val="00231B5F"/>
    <w:rsid w:val="002349C3"/>
    <w:rsid w:val="00236422"/>
    <w:rsid w:val="00252B51"/>
    <w:rsid w:val="0025435C"/>
    <w:rsid w:val="002559D7"/>
    <w:rsid w:val="00256893"/>
    <w:rsid w:val="0025740D"/>
    <w:rsid w:val="002643D8"/>
    <w:rsid w:val="002652D4"/>
    <w:rsid w:val="00270E99"/>
    <w:rsid w:val="0027265C"/>
    <w:rsid w:val="00273AB1"/>
    <w:rsid w:val="00275463"/>
    <w:rsid w:val="0027612B"/>
    <w:rsid w:val="00276253"/>
    <w:rsid w:val="00280E12"/>
    <w:rsid w:val="0029100A"/>
    <w:rsid w:val="00292B54"/>
    <w:rsid w:val="00296983"/>
    <w:rsid w:val="002A764E"/>
    <w:rsid w:val="002B150D"/>
    <w:rsid w:val="002B334D"/>
    <w:rsid w:val="002B57B0"/>
    <w:rsid w:val="002D1F0B"/>
    <w:rsid w:val="002E2EA7"/>
    <w:rsid w:val="002E2F12"/>
    <w:rsid w:val="002E457C"/>
    <w:rsid w:val="002F1A1E"/>
    <w:rsid w:val="002F21D8"/>
    <w:rsid w:val="002F399F"/>
    <w:rsid w:val="003000A8"/>
    <w:rsid w:val="00300F23"/>
    <w:rsid w:val="003039ED"/>
    <w:rsid w:val="00305BA4"/>
    <w:rsid w:val="00310935"/>
    <w:rsid w:val="0031284E"/>
    <w:rsid w:val="00313DB4"/>
    <w:rsid w:val="00314BC7"/>
    <w:rsid w:val="00317EAC"/>
    <w:rsid w:val="00320947"/>
    <w:rsid w:val="003269DC"/>
    <w:rsid w:val="003315A0"/>
    <w:rsid w:val="00335A6C"/>
    <w:rsid w:val="00341479"/>
    <w:rsid w:val="00346BC2"/>
    <w:rsid w:val="00350D1F"/>
    <w:rsid w:val="003528C3"/>
    <w:rsid w:val="0035305C"/>
    <w:rsid w:val="003600B2"/>
    <w:rsid w:val="003616F6"/>
    <w:rsid w:val="0036424C"/>
    <w:rsid w:val="003677C2"/>
    <w:rsid w:val="00370BD4"/>
    <w:rsid w:val="003734F9"/>
    <w:rsid w:val="00373D3F"/>
    <w:rsid w:val="00373FCE"/>
    <w:rsid w:val="003800EA"/>
    <w:rsid w:val="003835F2"/>
    <w:rsid w:val="00387F2E"/>
    <w:rsid w:val="00390980"/>
    <w:rsid w:val="003930B0"/>
    <w:rsid w:val="0039384A"/>
    <w:rsid w:val="00395EBD"/>
    <w:rsid w:val="003A1DB6"/>
    <w:rsid w:val="003A4EA8"/>
    <w:rsid w:val="003B05E1"/>
    <w:rsid w:val="003B1046"/>
    <w:rsid w:val="003B4025"/>
    <w:rsid w:val="003B4FD5"/>
    <w:rsid w:val="003B5A4C"/>
    <w:rsid w:val="003B6D4A"/>
    <w:rsid w:val="003C5EE6"/>
    <w:rsid w:val="003C6C81"/>
    <w:rsid w:val="003C6E91"/>
    <w:rsid w:val="003D0D1A"/>
    <w:rsid w:val="003D2871"/>
    <w:rsid w:val="003D54AB"/>
    <w:rsid w:val="003D6038"/>
    <w:rsid w:val="003D6B97"/>
    <w:rsid w:val="003D7415"/>
    <w:rsid w:val="003E20E8"/>
    <w:rsid w:val="003F26A0"/>
    <w:rsid w:val="003F6BAD"/>
    <w:rsid w:val="00402C44"/>
    <w:rsid w:val="00403AEE"/>
    <w:rsid w:val="0041191E"/>
    <w:rsid w:val="0042065A"/>
    <w:rsid w:val="004247C1"/>
    <w:rsid w:val="004256BD"/>
    <w:rsid w:val="00426DE9"/>
    <w:rsid w:val="004333F7"/>
    <w:rsid w:val="00435642"/>
    <w:rsid w:val="00436740"/>
    <w:rsid w:val="00440C49"/>
    <w:rsid w:val="004410C4"/>
    <w:rsid w:val="004415DD"/>
    <w:rsid w:val="0044304C"/>
    <w:rsid w:val="00446CDB"/>
    <w:rsid w:val="0045367A"/>
    <w:rsid w:val="0045450B"/>
    <w:rsid w:val="004551CD"/>
    <w:rsid w:val="0045561B"/>
    <w:rsid w:val="0046183D"/>
    <w:rsid w:val="00463BDE"/>
    <w:rsid w:val="004653AB"/>
    <w:rsid w:val="004675DD"/>
    <w:rsid w:val="00471404"/>
    <w:rsid w:val="00472B70"/>
    <w:rsid w:val="00473930"/>
    <w:rsid w:val="00480D7E"/>
    <w:rsid w:val="00481510"/>
    <w:rsid w:val="004820D8"/>
    <w:rsid w:val="004837C9"/>
    <w:rsid w:val="00483C37"/>
    <w:rsid w:val="00487D45"/>
    <w:rsid w:val="00492969"/>
    <w:rsid w:val="00492BAA"/>
    <w:rsid w:val="004936B2"/>
    <w:rsid w:val="00493CD1"/>
    <w:rsid w:val="00495491"/>
    <w:rsid w:val="004A1010"/>
    <w:rsid w:val="004A30DD"/>
    <w:rsid w:val="004A339B"/>
    <w:rsid w:val="004A33F6"/>
    <w:rsid w:val="004A6135"/>
    <w:rsid w:val="004B6788"/>
    <w:rsid w:val="004D111A"/>
    <w:rsid w:val="004D174D"/>
    <w:rsid w:val="004D4465"/>
    <w:rsid w:val="004E0320"/>
    <w:rsid w:val="004E1EFA"/>
    <w:rsid w:val="004E4892"/>
    <w:rsid w:val="004E4F78"/>
    <w:rsid w:val="004F1344"/>
    <w:rsid w:val="004F3466"/>
    <w:rsid w:val="004F4163"/>
    <w:rsid w:val="004F5302"/>
    <w:rsid w:val="004F7AEA"/>
    <w:rsid w:val="004F7FCB"/>
    <w:rsid w:val="00500B0F"/>
    <w:rsid w:val="00500F47"/>
    <w:rsid w:val="0050247A"/>
    <w:rsid w:val="005031FD"/>
    <w:rsid w:val="00503BD6"/>
    <w:rsid w:val="005103F1"/>
    <w:rsid w:val="00513D98"/>
    <w:rsid w:val="00513DDF"/>
    <w:rsid w:val="0051429C"/>
    <w:rsid w:val="0051495D"/>
    <w:rsid w:val="00520A73"/>
    <w:rsid w:val="00522CDD"/>
    <w:rsid w:val="00523057"/>
    <w:rsid w:val="00533CE2"/>
    <w:rsid w:val="00533D94"/>
    <w:rsid w:val="005347FE"/>
    <w:rsid w:val="005351C4"/>
    <w:rsid w:val="00540728"/>
    <w:rsid w:val="0054420F"/>
    <w:rsid w:val="005507F0"/>
    <w:rsid w:val="0055080F"/>
    <w:rsid w:val="005526A1"/>
    <w:rsid w:val="00554619"/>
    <w:rsid w:val="0056286B"/>
    <w:rsid w:val="0056464E"/>
    <w:rsid w:val="0056504B"/>
    <w:rsid w:val="005708CD"/>
    <w:rsid w:val="005762A6"/>
    <w:rsid w:val="00577C7C"/>
    <w:rsid w:val="00581D46"/>
    <w:rsid w:val="00582465"/>
    <w:rsid w:val="005835DB"/>
    <w:rsid w:val="0058522A"/>
    <w:rsid w:val="00586587"/>
    <w:rsid w:val="00591357"/>
    <w:rsid w:val="005929CE"/>
    <w:rsid w:val="00592E64"/>
    <w:rsid w:val="005956D6"/>
    <w:rsid w:val="00596225"/>
    <w:rsid w:val="005A3E85"/>
    <w:rsid w:val="005A4E6C"/>
    <w:rsid w:val="005A7E2E"/>
    <w:rsid w:val="005B02DF"/>
    <w:rsid w:val="005B246C"/>
    <w:rsid w:val="005B64EE"/>
    <w:rsid w:val="005B6CAE"/>
    <w:rsid w:val="005B78CA"/>
    <w:rsid w:val="005C4370"/>
    <w:rsid w:val="005C5A7B"/>
    <w:rsid w:val="005C738E"/>
    <w:rsid w:val="005D2051"/>
    <w:rsid w:val="005D7F00"/>
    <w:rsid w:val="005E13F3"/>
    <w:rsid w:val="005E2F69"/>
    <w:rsid w:val="005E3AE2"/>
    <w:rsid w:val="005E62F8"/>
    <w:rsid w:val="005E7742"/>
    <w:rsid w:val="005F4C83"/>
    <w:rsid w:val="0060035A"/>
    <w:rsid w:val="00601990"/>
    <w:rsid w:val="00601CBC"/>
    <w:rsid w:val="006057F9"/>
    <w:rsid w:val="0060603B"/>
    <w:rsid w:val="00606455"/>
    <w:rsid w:val="006116E6"/>
    <w:rsid w:val="006124CE"/>
    <w:rsid w:val="00613117"/>
    <w:rsid w:val="00613798"/>
    <w:rsid w:val="006151DE"/>
    <w:rsid w:val="006157B8"/>
    <w:rsid w:val="006160A3"/>
    <w:rsid w:val="006166B9"/>
    <w:rsid w:val="006208A1"/>
    <w:rsid w:val="00622438"/>
    <w:rsid w:val="00623950"/>
    <w:rsid w:val="006241B1"/>
    <w:rsid w:val="006260BC"/>
    <w:rsid w:val="006351D9"/>
    <w:rsid w:val="0063550E"/>
    <w:rsid w:val="0064258E"/>
    <w:rsid w:val="006430A2"/>
    <w:rsid w:val="00645E72"/>
    <w:rsid w:val="00645FC2"/>
    <w:rsid w:val="00647B27"/>
    <w:rsid w:val="00652AB7"/>
    <w:rsid w:val="00653F17"/>
    <w:rsid w:val="00655A9D"/>
    <w:rsid w:val="00662B1F"/>
    <w:rsid w:val="00664580"/>
    <w:rsid w:val="00665CB5"/>
    <w:rsid w:val="0067352E"/>
    <w:rsid w:val="006752F0"/>
    <w:rsid w:val="006761F1"/>
    <w:rsid w:val="0067763F"/>
    <w:rsid w:val="00677D23"/>
    <w:rsid w:val="00681D22"/>
    <w:rsid w:val="006823E0"/>
    <w:rsid w:val="00682E0A"/>
    <w:rsid w:val="00684864"/>
    <w:rsid w:val="0068582F"/>
    <w:rsid w:val="00687A5D"/>
    <w:rsid w:val="0069064B"/>
    <w:rsid w:val="00697AF8"/>
    <w:rsid w:val="00697B88"/>
    <w:rsid w:val="006A1E7E"/>
    <w:rsid w:val="006A642E"/>
    <w:rsid w:val="006A6603"/>
    <w:rsid w:val="006A6ADF"/>
    <w:rsid w:val="006A79C6"/>
    <w:rsid w:val="006A7B34"/>
    <w:rsid w:val="006B2045"/>
    <w:rsid w:val="006B3D4E"/>
    <w:rsid w:val="006B5E16"/>
    <w:rsid w:val="006C2059"/>
    <w:rsid w:val="006C3E71"/>
    <w:rsid w:val="006C4BB2"/>
    <w:rsid w:val="006C66F2"/>
    <w:rsid w:val="006D1B2F"/>
    <w:rsid w:val="006D4255"/>
    <w:rsid w:val="006D51D2"/>
    <w:rsid w:val="006D7733"/>
    <w:rsid w:val="006E141E"/>
    <w:rsid w:val="006E38BC"/>
    <w:rsid w:val="006F043F"/>
    <w:rsid w:val="006F2890"/>
    <w:rsid w:val="006F3C3C"/>
    <w:rsid w:val="006F40C8"/>
    <w:rsid w:val="007008B0"/>
    <w:rsid w:val="00701CDF"/>
    <w:rsid w:val="00702D11"/>
    <w:rsid w:val="007114E3"/>
    <w:rsid w:val="00712477"/>
    <w:rsid w:val="00716B84"/>
    <w:rsid w:val="0071733B"/>
    <w:rsid w:val="00722F31"/>
    <w:rsid w:val="00730878"/>
    <w:rsid w:val="0073128E"/>
    <w:rsid w:val="0073361C"/>
    <w:rsid w:val="00733ECB"/>
    <w:rsid w:val="00735504"/>
    <w:rsid w:val="007400B0"/>
    <w:rsid w:val="00745828"/>
    <w:rsid w:val="00745E3B"/>
    <w:rsid w:val="007522B8"/>
    <w:rsid w:val="00753BD9"/>
    <w:rsid w:val="00754A4E"/>
    <w:rsid w:val="00762B8C"/>
    <w:rsid w:val="0076455A"/>
    <w:rsid w:val="007656FD"/>
    <w:rsid w:val="007660E6"/>
    <w:rsid w:val="007668A0"/>
    <w:rsid w:val="00767DB2"/>
    <w:rsid w:val="00770266"/>
    <w:rsid w:val="00774D6C"/>
    <w:rsid w:val="0078153C"/>
    <w:rsid w:val="007826C1"/>
    <w:rsid w:val="0078362A"/>
    <w:rsid w:val="007855B4"/>
    <w:rsid w:val="00792538"/>
    <w:rsid w:val="00796234"/>
    <w:rsid w:val="007A1805"/>
    <w:rsid w:val="007A3328"/>
    <w:rsid w:val="007A635F"/>
    <w:rsid w:val="007B1B62"/>
    <w:rsid w:val="007B1E8F"/>
    <w:rsid w:val="007B1FC4"/>
    <w:rsid w:val="007B576B"/>
    <w:rsid w:val="007B61BD"/>
    <w:rsid w:val="007C5188"/>
    <w:rsid w:val="007D587A"/>
    <w:rsid w:val="007D5D56"/>
    <w:rsid w:val="007D6D19"/>
    <w:rsid w:val="007D6E83"/>
    <w:rsid w:val="007E02B0"/>
    <w:rsid w:val="007E2E52"/>
    <w:rsid w:val="007E5AA1"/>
    <w:rsid w:val="007F4D3A"/>
    <w:rsid w:val="007F5425"/>
    <w:rsid w:val="007F550F"/>
    <w:rsid w:val="00804844"/>
    <w:rsid w:val="00806281"/>
    <w:rsid w:val="0080631C"/>
    <w:rsid w:val="00822331"/>
    <w:rsid w:val="00823970"/>
    <w:rsid w:val="00824932"/>
    <w:rsid w:val="00831875"/>
    <w:rsid w:val="00833149"/>
    <w:rsid w:val="0083323C"/>
    <w:rsid w:val="00835A48"/>
    <w:rsid w:val="008361C0"/>
    <w:rsid w:val="008377CE"/>
    <w:rsid w:val="00841108"/>
    <w:rsid w:val="00844188"/>
    <w:rsid w:val="008460C0"/>
    <w:rsid w:val="00852277"/>
    <w:rsid w:val="0085264B"/>
    <w:rsid w:val="00862C72"/>
    <w:rsid w:val="00865F4C"/>
    <w:rsid w:val="008675BB"/>
    <w:rsid w:val="0086766F"/>
    <w:rsid w:val="00872453"/>
    <w:rsid w:val="00877A08"/>
    <w:rsid w:val="00881CAB"/>
    <w:rsid w:val="00885932"/>
    <w:rsid w:val="00890D8C"/>
    <w:rsid w:val="008949E7"/>
    <w:rsid w:val="00896B8B"/>
    <w:rsid w:val="008A3813"/>
    <w:rsid w:val="008B0569"/>
    <w:rsid w:val="008B3D56"/>
    <w:rsid w:val="008B6933"/>
    <w:rsid w:val="008B7655"/>
    <w:rsid w:val="008C265C"/>
    <w:rsid w:val="008C5263"/>
    <w:rsid w:val="008C69A8"/>
    <w:rsid w:val="008D1DF1"/>
    <w:rsid w:val="008D20B7"/>
    <w:rsid w:val="008D22EB"/>
    <w:rsid w:val="008F6004"/>
    <w:rsid w:val="008F6F4D"/>
    <w:rsid w:val="009023C1"/>
    <w:rsid w:val="00904F66"/>
    <w:rsid w:val="00906244"/>
    <w:rsid w:val="0091298E"/>
    <w:rsid w:val="00917C39"/>
    <w:rsid w:val="00922575"/>
    <w:rsid w:val="009250B5"/>
    <w:rsid w:val="0093008E"/>
    <w:rsid w:val="00932D2B"/>
    <w:rsid w:val="00933977"/>
    <w:rsid w:val="00933AB3"/>
    <w:rsid w:val="0093544E"/>
    <w:rsid w:val="0093591A"/>
    <w:rsid w:val="00935975"/>
    <w:rsid w:val="00941838"/>
    <w:rsid w:val="009440D0"/>
    <w:rsid w:val="009479DA"/>
    <w:rsid w:val="00950DA3"/>
    <w:rsid w:val="00955CDC"/>
    <w:rsid w:val="00955D0B"/>
    <w:rsid w:val="00956014"/>
    <w:rsid w:val="009564CC"/>
    <w:rsid w:val="009567F1"/>
    <w:rsid w:val="0096173E"/>
    <w:rsid w:val="00961E83"/>
    <w:rsid w:val="0096308C"/>
    <w:rsid w:val="00963927"/>
    <w:rsid w:val="009649FC"/>
    <w:rsid w:val="00965273"/>
    <w:rsid w:val="009678C3"/>
    <w:rsid w:val="00967E22"/>
    <w:rsid w:val="0097024E"/>
    <w:rsid w:val="009719F1"/>
    <w:rsid w:val="00973C9F"/>
    <w:rsid w:val="009742F3"/>
    <w:rsid w:val="009757E4"/>
    <w:rsid w:val="0097740C"/>
    <w:rsid w:val="00981D73"/>
    <w:rsid w:val="00985132"/>
    <w:rsid w:val="00985272"/>
    <w:rsid w:val="00990D9F"/>
    <w:rsid w:val="00991CD2"/>
    <w:rsid w:val="00991EDD"/>
    <w:rsid w:val="00997D6B"/>
    <w:rsid w:val="009A45B6"/>
    <w:rsid w:val="009B31D3"/>
    <w:rsid w:val="009B3977"/>
    <w:rsid w:val="009C0DDE"/>
    <w:rsid w:val="009C1E4E"/>
    <w:rsid w:val="009C66D9"/>
    <w:rsid w:val="009C7B69"/>
    <w:rsid w:val="009D5849"/>
    <w:rsid w:val="009D6F5E"/>
    <w:rsid w:val="009E3C76"/>
    <w:rsid w:val="009E5C79"/>
    <w:rsid w:val="009E7D93"/>
    <w:rsid w:val="009F40F0"/>
    <w:rsid w:val="009F584F"/>
    <w:rsid w:val="009F60DB"/>
    <w:rsid w:val="009F7173"/>
    <w:rsid w:val="00A010F9"/>
    <w:rsid w:val="00A01402"/>
    <w:rsid w:val="00A03817"/>
    <w:rsid w:val="00A05415"/>
    <w:rsid w:val="00A056FC"/>
    <w:rsid w:val="00A07CBE"/>
    <w:rsid w:val="00A112AE"/>
    <w:rsid w:val="00A11929"/>
    <w:rsid w:val="00A1370F"/>
    <w:rsid w:val="00A20E9A"/>
    <w:rsid w:val="00A22775"/>
    <w:rsid w:val="00A24F4C"/>
    <w:rsid w:val="00A25A3B"/>
    <w:rsid w:val="00A32868"/>
    <w:rsid w:val="00A333C2"/>
    <w:rsid w:val="00A34070"/>
    <w:rsid w:val="00A35763"/>
    <w:rsid w:val="00A373F9"/>
    <w:rsid w:val="00A40DBE"/>
    <w:rsid w:val="00A41BAE"/>
    <w:rsid w:val="00A50A65"/>
    <w:rsid w:val="00A52742"/>
    <w:rsid w:val="00A60C30"/>
    <w:rsid w:val="00A65079"/>
    <w:rsid w:val="00A73622"/>
    <w:rsid w:val="00A7548C"/>
    <w:rsid w:val="00A80F3C"/>
    <w:rsid w:val="00A81C7B"/>
    <w:rsid w:val="00A845EB"/>
    <w:rsid w:val="00A85DE5"/>
    <w:rsid w:val="00A91087"/>
    <w:rsid w:val="00A930A3"/>
    <w:rsid w:val="00A9326B"/>
    <w:rsid w:val="00A94034"/>
    <w:rsid w:val="00AA05A9"/>
    <w:rsid w:val="00AA188B"/>
    <w:rsid w:val="00AA2E49"/>
    <w:rsid w:val="00AB0744"/>
    <w:rsid w:val="00AB0AF3"/>
    <w:rsid w:val="00AB36D7"/>
    <w:rsid w:val="00AC12E9"/>
    <w:rsid w:val="00AC73F5"/>
    <w:rsid w:val="00AD3BB9"/>
    <w:rsid w:val="00AD6E66"/>
    <w:rsid w:val="00AD7793"/>
    <w:rsid w:val="00AE0E87"/>
    <w:rsid w:val="00AE257B"/>
    <w:rsid w:val="00AE600B"/>
    <w:rsid w:val="00AE6F88"/>
    <w:rsid w:val="00AE709B"/>
    <w:rsid w:val="00AF0575"/>
    <w:rsid w:val="00AF1974"/>
    <w:rsid w:val="00AF2DC6"/>
    <w:rsid w:val="00AF341F"/>
    <w:rsid w:val="00AF41AE"/>
    <w:rsid w:val="00B00661"/>
    <w:rsid w:val="00B03C51"/>
    <w:rsid w:val="00B20D1D"/>
    <w:rsid w:val="00B21222"/>
    <w:rsid w:val="00B21E0A"/>
    <w:rsid w:val="00B2659E"/>
    <w:rsid w:val="00B27306"/>
    <w:rsid w:val="00B30A29"/>
    <w:rsid w:val="00B318F2"/>
    <w:rsid w:val="00B31D32"/>
    <w:rsid w:val="00B3222D"/>
    <w:rsid w:val="00B40BFF"/>
    <w:rsid w:val="00B443AB"/>
    <w:rsid w:val="00B45822"/>
    <w:rsid w:val="00B460D4"/>
    <w:rsid w:val="00B46162"/>
    <w:rsid w:val="00B476FF"/>
    <w:rsid w:val="00B538D8"/>
    <w:rsid w:val="00B55624"/>
    <w:rsid w:val="00B617BF"/>
    <w:rsid w:val="00B62C7C"/>
    <w:rsid w:val="00B634CE"/>
    <w:rsid w:val="00B6369C"/>
    <w:rsid w:val="00B715D7"/>
    <w:rsid w:val="00B72E62"/>
    <w:rsid w:val="00B73220"/>
    <w:rsid w:val="00B767CE"/>
    <w:rsid w:val="00B7764A"/>
    <w:rsid w:val="00B8133E"/>
    <w:rsid w:val="00B8350C"/>
    <w:rsid w:val="00B84E2F"/>
    <w:rsid w:val="00B85A61"/>
    <w:rsid w:val="00B86465"/>
    <w:rsid w:val="00B8703B"/>
    <w:rsid w:val="00B9026D"/>
    <w:rsid w:val="00B90745"/>
    <w:rsid w:val="00B92511"/>
    <w:rsid w:val="00B93020"/>
    <w:rsid w:val="00B93EA9"/>
    <w:rsid w:val="00B94542"/>
    <w:rsid w:val="00BA0280"/>
    <w:rsid w:val="00BA5FE9"/>
    <w:rsid w:val="00BB04AF"/>
    <w:rsid w:val="00BB0FFD"/>
    <w:rsid w:val="00BB2B5D"/>
    <w:rsid w:val="00BB66ED"/>
    <w:rsid w:val="00BB7D5C"/>
    <w:rsid w:val="00BC1F05"/>
    <w:rsid w:val="00BC3CD5"/>
    <w:rsid w:val="00BD1873"/>
    <w:rsid w:val="00BD365B"/>
    <w:rsid w:val="00BD37DC"/>
    <w:rsid w:val="00BD6214"/>
    <w:rsid w:val="00BD6D7E"/>
    <w:rsid w:val="00BE42BC"/>
    <w:rsid w:val="00BE7EFD"/>
    <w:rsid w:val="00BF23A6"/>
    <w:rsid w:val="00BF3502"/>
    <w:rsid w:val="00BF61CA"/>
    <w:rsid w:val="00BF6851"/>
    <w:rsid w:val="00BF70E8"/>
    <w:rsid w:val="00C02FD6"/>
    <w:rsid w:val="00C065A3"/>
    <w:rsid w:val="00C06E87"/>
    <w:rsid w:val="00C07A9C"/>
    <w:rsid w:val="00C11B5B"/>
    <w:rsid w:val="00C11BE8"/>
    <w:rsid w:val="00C239FD"/>
    <w:rsid w:val="00C24504"/>
    <w:rsid w:val="00C267DB"/>
    <w:rsid w:val="00C30808"/>
    <w:rsid w:val="00C31C13"/>
    <w:rsid w:val="00C32EA9"/>
    <w:rsid w:val="00C37449"/>
    <w:rsid w:val="00C4065C"/>
    <w:rsid w:val="00C431C7"/>
    <w:rsid w:val="00C44D42"/>
    <w:rsid w:val="00C513D9"/>
    <w:rsid w:val="00C51B09"/>
    <w:rsid w:val="00C53BBA"/>
    <w:rsid w:val="00C66855"/>
    <w:rsid w:val="00C679F5"/>
    <w:rsid w:val="00C7396B"/>
    <w:rsid w:val="00C77483"/>
    <w:rsid w:val="00C80F15"/>
    <w:rsid w:val="00C81F1C"/>
    <w:rsid w:val="00C839F9"/>
    <w:rsid w:val="00C8410C"/>
    <w:rsid w:val="00C850EC"/>
    <w:rsid w:val="00C93C45"/>
    <w:rsid w:val="00C94214"/>
    <w:rsid w:val="00C97CD8"/>
    <w:rsid w:val="00C97FEA"/>
    <w:rsid w:val="00CA254E"/>
    <w:rsid w:val="00CA3805"/>
    <w:rsid w:val="00CB4E82"/>
    <w:rsid w:val="00CB70B2"/>
    <w:rsid w:val="00CC4CA1"/>
    <w:rsid w:val="00CD41E8"/>
    <w:rsid w:val="00CE1876"/>
    <w:rsid w:val="00CE1AA3"/>
    <w:rsid w:val="00CE44E0"/>
    <w:rsid w:val="00CE634B"/>
    <w:rsid w:val="00CE6C7E"/>
    <w:rsid w:val="00CE765E"/>
    <w:rsid w:val="00CF2B79"/>
    <w:rsid w:val="00D016B2"/>
    <w:rsid w:val="00D01FDC"/>
    <w:rsid w:val="00D04457"/>
    <w:rsid w:val="00D06E66"/>
    <w:rsid w:val="00D07EF5"/>
    <w:rsid w:val="00D11F45"/>
    <w:rsid w:val="00D16293"/>
    <w:rsid w:val="00D1798C"/>
    <w:rsid w:val="00D2323A"/>
    <w:rsid w:val="00D270C6"/>
    <w:rsid w:val="00D3271A"/>
    <w:rsid w:val="00D3774A"/>
    <w:rsid w:val="00D41F31"/>
    <w:rsid w:val="00D43C96"/>
    <w:rsid w:val="00D45D54"/>
    <w:rsid w:val="00D463BB"/>
    <w:rsid w:val="00D47A59"/>
    <w:rsid w:val="00D50C8E"/>
    <w:rsid w:val="00D56401"/>
    <w:rsid w:val="00D56D3F"/>
    <w:rsid w:val="00D60EA7"/>
    <w:rsid w:val="00D61034"/>
    <w:rsid w:val="00D61818"/>
    <w:rsid w:val="00D6288E"/>
    <w:rsid w:val="00D62EBC"/>
    <w:rsid w:val="00D63037"/>
    <w:rsid w:val="00D63843"/>
    <w:rsid w:val="00D64824"/>
    <w:rsid w:val="00D665B4"/>
    <w:rsid w:val="00D66F31"/>
    <w:rsid w:val="00D678A6"/>
    <w:rsid w:val="00D84936"/>
    <w:rsid w:val="00D871EF"/>
    <w:rsid w:val="00D9564A"/>
    <w:rsid w:val="00DA1018"/>
    <w:rsid w:val="00DA300A"/>
    <w:rsid w:val="00DA519F"/>
    <w:rsid w:val="00DA7483"/>
    <w:rsid w:val="00DB08E2"/>
    <w:rsid w:val="00DB61FF"/>
    <w:rsid w:val="00DB6D70"/>
    <w:rsid w:val="00DB72E9"/>
    <w:rsid w:val="00DB7B69"/>
    <w:rsid w:val="00DC048E"/>
    <w:rsid w:val="00DC1DCF"/>
    <w:rsid w:val="00DD0126"/>
    <w:rsid w:val="00DD5A16"/>
    <w:rsid w:val="00DD666B"/>
    <w:rsid w:val="00DD688A"/>
    <w:rsid w:val="00DD6B00"/>
    <w:rsid w:val="00DD6F94"/>
    <w:rsid w:val="00DD7E0F"/>
    <w:rsid w:val="00DE0620"/>
    <w:rsid w:val="00DE23CD"/>
    <w:rsid w:val="00DE5B0F"/>
    <w:rsid w:val="00DE7057"/>
    <w:rsid w:val="00DF1C5A"/>
    <w:rsid w:val="00E00250"/>
    <w:rsid w:val="00E00BFB"/>
    <w:rsid w:val="00E02876"/>
    <w:rsid w:val="00E05D0C"/>
    <w:rsid w:val="00E102D6"/>
    <w:rsid w:val="00E131E4"/>
    <w:rsid w:val="00E218BC"/>
    <w:rsid w:val="00E25FF2"/>
    <w:rsid w:val="00E272CB"/>
    <w:rsid w:val="00E27E99"/>
    <w:rsid w:val="00E350C5"/>
    <w:rsid w:val="00E36839"/>
    <w:rsid w:val="00E36CFE"/>
    <w:rsid w:val="00E376EB"/>
    <w:rsid w:val="00E416F7"/>
    <w:rsid w:val="00E43039"/>
    <w:rsid w:val="00E433A3"/>
    <w:rsid w:val="00E44E08"/>
    <w:rsid w:val="00E539EA"/>
    <w:rsid w:val="00E56C80"/>
    <w:rsid w:val="00E74C34"/>
    <w:rsid w:val="00E75314"/>
    <w:rsid w:val="00E80DA9"/>
    <w:rsid w:val="00E837D9"/>
    <w:rsid w:val="00E840BF"/>
    <w:rsid w:val="00E908F6"/>
    <w:rsid w:val="00E9195D"/>
    <w:rsid w:val="00E92EA6"/>
    <w:rsid w:val="00E96710"/>
    <w:rsid w:val="00E97EDE"/>
    <w:rsid w:val="00EA1D65"/>
    <w:rsid w:val="00EA4436"/>
    <w:rsid w:val="00EB1612"/>
    <w:rsid w:val="00EB1A85"/>
    <w:rsid w:val="00EB41E9"/>
    <w:rsid w:val="00EC30C6"/>
    <w:rsid w:val="00EC46D1"/>
    <w:rsid w:val="00ED13A4"/>
    <w:rsid w:val="00ED6F6D"/>
    <w:rsid w:val="00EE0618"/>
    <w:rsid w:val="00EE2A9F"/>
    <w:rsid w:val="00EE44EE"/>
    <w:rsid w:val="00EF01EB"/>
    <w:rsid w:val="00EF053A"/>
    <w:rsid w:val="00EF0A6C"/>
    <w:rsid w:val="00EF187A"/>
    <w:rsid w:val="00EF3DBE"/>
    <w:rsid w:val="00EF61B7"/>
    <w:rsid w:val="00F01C6C"/>
    <w:rsid w:val="00F027A1"/>
    <w:rsid w:val="00F02EA4"/>
    <w:rsid w:val="00F04FBB"/>
    <w:rsid w:val="00F050FE"/>
    <w:rsid w:val="00F07103"/>
    <w:rsid w:val="00F15B9E"/>
    <w:rsid w:val="00F15C83"/>
    <w:rsid w:val="00F220A6"/>
    <w:rsid w:val="00F2218A"/>
    <w:rsid w:val="00F235A7"/>
    <w:rsid w:val="00F25280"/>
    <w:rsid w:val="00F31C52"/>
    <w:rsid w:val="00F3466D"/>
    <w:rsid w:val="00F42B41"/>
    <w:rsid w:val="00F44A31"/>
    <w:rsid w:val="00F521A2"/>
    <w:rsid w:val="00F522B6"/>
    <w:rsid w:val="00F56D48"/>
    <w:rsid w:val="00F57504"/>
    <w:rsid w:val="00F57F5E"/>
    <w:rsid w:val="00F60A85"/>
    <w:rsid w:val="00F62865"/>
    <w:rsid w:val="00F62EAE"/>
    <w:rsid w:val="00F63AA7"/>
    <w:rsid w:val="00F65987"/>
    <w:rsid w:val="00F72192"/>
    <w:rsid w:val="00F726E0"/>
    <w:rsid w:val="00F75192"/>
    <w:rsid w:val="00F76731"/>
    <w:rsid w:val="00F827A1"/>
    <w:rsid w:val="00F830ED"/>
    <w:rsid w:val="00F84139"/>
    <w:rsid w:val="00F91EF7"/>
    <w:rsid w:val="00F924AA"/>
    <w:rsid w:val="00F93F14"/>
    <w:rsid w:val="00F96518"/>
    <w:rsid w:val="00F97D98"/>
    <w:rsid w:val="00FA170B"/>
    <w:rsid w:val="00FA3205"/>
    <w:rsid w:val="00FA5EC2"/>
    <w:rsid w:val="00FB0230"/>
    <w:rsid w:val="00FB49AA"/>
    <w:rsid w:val="00FB7A20"/>
    <w:rsid w:val="00FC0939"/>
    <w:rsid w:val="00FC227B"/>
    <w:rsid w:val="00FC31BC"/>
    <w:rsid w:val="00FC46D4"/>
    <w:rsid w:val="00FC48CA"/>
    <w:rsid w:val="00FC674B"/>
    <w:rsid w:val="00FD0D13"/>
    <w:rsid w:val="00FD4934"/>
    <w:rsid w:val="00FD6CA9"/>
    <w:rsid w:val="00FD7E3F"/>
    <w:rsid w:val="00FE0D41"/>
    <w:rsid w:val="00FE2152"/>
    <w:rsid w:val="00FE23A0"/>
    <w:rsid w:val="00FE3D9F"/>
    <w:rsid w:val="00FE549C"/>
    <w:rsid w:val="00FE668E"/>
    <w:rsid w:val="00FE7349"/>
    <w:rsid w:val="00FF0F7B"/>
    <w:rsid w:val="00FF7BFC"/>
  </w:rsids>
  <w:docVars>
    <w:docVar w:name="LW_DocType" w:val="REP"/>
  </w:docVars>
  <m:mathPr>
    <m:mathFont m:val="Cambria Math"/>
    <m:wrapRight/>
  </m:mathPr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List Bullet" w:uiPriority="0"/>
    <w:lsdException w:name="List Number 4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BD6D7E"/>
    <w:pPr>
      <w:spacing w:before="120" w:after="120"/>
      <w:jc w:val="both"/>
    </w:pPr>
    <w:rPr>
      <w:sz w:val="24"/>
      <w:lang w:val="en-GB" w:eastAsia="en-US" w:bidi="ar-SA"/>
    </w:rPr>
  </w:style>
  <w:style w:type="paragraph" w:styleId="Heading1">
    <w:name w:val="heading 1"/>
    <w:basedOn w:val="Normal"/>
    <w:next w:val="Normal"/>
    <w:qFormat/>
    <w:rsid w:val="00162E7B"/>
    <w:pPr>
      <w:keepNext/>
      <w:numPr>
        <w:ilvl w:val="0"/>
        <w:numId w:val="20"/>
      </w:numPr>
      <w:spacing w:before="240" w:after="240"/>
      <w:outlineLvl w:val="0"/>
    </w:pPr>
    <w:rPr>
      <w:b/>
      <w:smallCaps/>
      <w:sz w:val="28"/>
      <w:lang w:val="fr-BE"/>
    </w:rPr>
  </w:style>
  <w:style w:type="paragraph" w:styleId="Heading2">
    <w:name w:val="heading 2"/>
    <w:basedOn w:val="Heading1"/>
    <w:next w:val="Normal"/>
    <w:link w:val="Heading2Char"/>
    <w:autoRedefine/>
    <w:qFormat/>
    <w:rsid w:val="00E272CB"/>
    <w:pPr>
      <w:numPr>
        <w:ilvl w:val="1"/>
        <w:numId w:val="20"/>
      </w:numPr>
      <w:ind w:left="0"/>
      <w:outlineLvl w:val="1"/>
    </w:pPr>
    <w:rPr>
      <w:smallCaps w:val="0"/>
      <w:sz w:val="24"/>
    </w:rPr>
  </w:style>
  <w:style w:type="paragraph" w:styleId="Heading3">
    <w:name w:val="heading 3"/>
    <w:basedOn w:val="Heading2"/>
    <w:next w:val="Normal"/>
    <w:link w:val="Heading3Char"/>
    <w:autoRedefine/>
    <w:qFormat/>
    <w:rsid w:val="00F235A7"/>
    <w:pPr>
      <w:numPr>
        <w:ilvl w:val="2"/>
        <w:numId w:val="20"/>
      </w:numPr>
      <w:outlineLvl w:val="2"/>
    </w:pPr>
    <w:rPr>
      <w:b w:val="0"/>
      <w:color w:val="000000"/>
    </w:rPr>
  </w:style>
  <w:style w:type="paragraph" w:styleId="Heading4">
    <w:name w:val="heading 4"/>
    <w:basedOn w:val="Heading3"/>
    <w:next w:val="Normal"/>
    <w:link w:val="Heading4Char"/>
    <w:qFormat/>
    <w:rsid w:val="00554619"/>
    <w:pPr>
      <w:numPr>
        <w:ilvl w:val="3"/>
        <w:numId w:val="20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1D534D"/>
    <w:pPr>
      <w:numPr>
        <w:ilvl w:val="4"/>
        <w:numId w:val="20"/>
      </w:numPr>
      <w:jc w:val="left"/>
      <w:outlineLvl w:val="4"/>
    </w:pPr>
    <w:rPr>
      <w:rFonts w:ascii="Arial" w:hAnsi="Arial"/>
      <w:b/>
      <w:i w:val="0"/>
      <w:noProof/>
      <w:sz w:val="22"/>
    </w:rPr>
  </w:style>
  <w:style w:type="paragraph" w:styleId="Heading6">
    <w:name w:val="heading 6"/>
    <w:basedOn w:val="Heading5"/>
    <w:next w:val="Normal"/>
    <w:qFormat/>
    <w:rsid w:val="00F235A7"/>
    <w:pPr>
      <w:numPr>
        <w:ilvl w:val="5"/>
        <w:numId w:val="20"/>
      </w:numPr>
      <w:spacing w:after="60"/>
      <w:outlineLvl w:val="5"/>
    </w:pPr>
    <w:rPr>
      <w:b w:val="0"/>
    </w:rPr>
  </w:style>
  <w:style w:type="paragraph" w:styleId="Heading7">
    <w:name w:val="heading 7"/>
    <w:basedOn w:val="Heading6"/>
    <w:next w:val="Normal"/>
    <w:qFormat/>
    <w:rsid w:val="00F235A7"/>
    <w:pPr>
      <w:numPr>
        <w:ilvl w:val="6"/>
        <w:numId w:val="20"/>
      </w:numPr>
      <w:outlineLvl w:val="6"/>
    </w:pPr>
    <w:rPr>
      <w:i/>
    </w:rPr>
  </w:style>
  <w:style w:type="paragraph" w:styleId="Heading8">
    <w:name w:val="heading 8"/>
    <w:basedOn w:val="Heading7"/>
    <w:next w:val="Normal"/>
    <w:qFormat/>
    <w:rsid w:val="001D534D"/>
    <w:pPr>
      <w:numPr>
        <w:ilvl w:val="7"/>
        <w:numId w:val="20"/>
      </w:numPr>
      <w:outlineLvl w:val="7"/>
    </w:pPr>
    <w:rPr>
      <w:rFonts w:ascii="Calibri" w:hAnsi="Calibri"/>
      <w:b/>
      <w:i w:val="0"/>
      <w:sz w:val="24"/>
    </w:rPr>
  </w:style>
  <w:style w:type="paragraph" w:styleId="Heading9">
    <w:name w:val="heading 9"/>
    <w:basedOn w:val="Heading8"/>
    <w:next w:val="Normal"/>
    <w:qFormat/>
    <w:rsid w:val="00F235A7"/>
    <w:pPr>
      <w:numPr>
        <w:ilvl w:val="8"/>
        <w:numId w:val="20"/>
      </w:numPr>
      <w:outlineLvl w:val="8"/>
    </w:pPr>
    <w:rPr>
      <w:b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ext1">
    <w:name w:val="Text 1"/>
    <w:basedOn w:val="Normal"/>
    <w:pPr>
      <w:ind w:left="482"/>
    </w:pPr>
  </w:style>
  <w:style w:type="paragraph" w:customStyle="1" w:styleId="Text2">
    <w:name w:val="Text 2"/>
    <w:basedOn w:val="Normal"/>
    <w:link w:val="Text2Char"/>
    <w:pPr>
      <w:tabs>
        <w:tab w:val="left" w:pos="2302"/>
      </w:tabs>
      <w:ind w:left="1202"/>
    </w:pPr>
  </w:style>
  <w:style w:type="paragraph" w:customStyle="1" w:styleId="Text3">
    <w:name w:val="Text 3"/>
    <w:basedOn w:val="Normal"/>
    <w:pPr>
      <w:tabs>
        <w:tab w:val="left" w:pos="2302"/>
      </w:tabs>
      <w:ind w:left="1202"/>
    </w:pPr>
  </w:style>
  <w:style w:type="paragraph" w:customStyle="1" w:styleId="Text4">
    <w:name w:val="Text 4"/>
    <w:basedOn w:val="Normal"/>
    <w:pPr>
      <w:tabs>
        <w:tab w:val="left" w:pos="2302"/>
      </w:tabs>
      <w:ind w:left="1202"/>
    </w:pPr>
  </w:style>
  <w:style w:type="paragraph" w:customStyle="1" w:styleId="Address">
    <w:name w:val="Address"/>
    <w:basedOn w:val="Normal"/>
    <w:pPr>
      <w:spacing w:after="0"/>
      <w:jc w:val="left"/>
    </w:pPr>
  </w:style>
  <w:style w:type="paragraph" w:customStyle="1" w:styleId="AddressTL">
    <w:name w:val="AddressTL"/>
    <w:basedOn w:val="Normal"/>
    <w:next w:val="Normal"/>
    <w:pPr>
      <w:spacing w:after="720"/>
      <w:jc w:val="left"/>
    </w:pPr>
  </w:style>
  <w:style w:type="paragraph" w:customStyle="1" w:styleId="AddressTR">
    <w:name w:val="AddressTR"/>
    <w:basedOn w:val="Normal"/>
    <w:next w:val="Normal"/>
    <w:pPr>
      <w:spacing w:after="720"/>
      <w:ind w:left="5103"/>
      <w:jc w:val="left"/>
    </w:pPr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">
    <w:name w:val="Body Text"/>
    <w:basedOn w:val="Normal"/>
    <w:pPr>
      <w:spacing w:after="120"/>
    </w:pPr>
  </w:style>
  <w:style w:type="paragraph" w:styleId="BodyText2">
    <w:name w:val="Body Text 2"/>
    <w:basedOn w:val="Normal"/>
    <w:pPr>
      <w:spacing w:after="120" w:line="480" w:lineRule="auto"/>
    </w:pPr>
  </w:style>
  <w:style w:type="paragraph" w:styleId="BodyText3">
    <w:name w:val="Body Text 3"/>
    <w:basedOn w:val="Normal"/>
    <w:pPr>
      <w:spacing w:after="120"/>
    </w:pPr>
    <w:rPr>
      <w:sz w:val="16"/>
    </w:rPr>
  </w:style>
  <w:style w:type="paragraph" w:styleId="BodyTextFirstIndent">
    <w:name w:val="Body Text First Indent"/>
    <w:basedOn w:val="BodyText"/>
    <w:pPr>
      <w:ind w:firstLine="210"/>
    </w:pPr>
  </w:style>
  <w:style w:type="paragraph" w:styleId="BodyTextIndent">
    <w:name w:val="Body Text Indent"/>
    <w:basedOn w:val="Normal"/>
    <w:pPr>
      <w:spacing w:after="120"/>
      <w:ind w:left="283"/>
    </w:pPr>
  </w:style>
  <w:style w:type="paragraph" w:styleId="BodyTextFirstIndent2">
    <w:name w:val="Body Text First Indent 2"/>
    <w:basedOn w:val="BodyTextIndent"/>
    <w:pPr>
      <w:ind w:firstLine="210"/>
    </w:pPr>
  </w:style>
  <w:style w:type="paragraph" w:styleId="BodyTextIndent2">
    <w:name w:val="Body Text Indent 2"/>
    <w:basedOn w:val="Normal"/>
    <w:pPr>
      <w:spacing w:after="120" w:line="480" w:lineRule="auto"/>
      <w:ind w:left="283"/>
    </w:pPr>
  </w:style>
  <w:style w:type="paragraph" w:styleId="BodyTextIndent3">
    <w:name w:val="Body Text Indent 3"/>
    <w:basedOn w:val="Normal"/>
    <w:pPr>
      <w:spacing w:after="120"/>
      <w:ind w:left="283"/>
    </w:pPr>
    <w:rPr>
      <w:sz w:val="16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</w:rPr>
  </w:style>
  <w:style w:type="paragraph" w:customStyle="1" w:styleId="ChapterTitle">
    <w:name w:val="ChapterTitle"/>
    <w:basedOn w:val="Normal"/>
    <w:next w:val="SectionTitle"/>
    <w:pPr>
      <w:keepNext/>
      <w:spacing w:after="480"/>
      <w:jc w:val="center"/>
    </w:pPr>
    <w:rPr>
      <w:b/>
      <w:sz w:val="32"/>
    </w:rPr>
  </w:style>
  <w:style w:type="paragraph" w:customStyle="1" w:styleId="SectionTitle">
    <w:name w:val="SectionTitle"/>
    <w:basedOn w:val="Normal"/>
    <w:next w:val="Heading1"/>
    <w:pPr>
      <w:keepNext/>
      <w:spacing w:after="480"/>
      <w:jc w:val="center"/>
    </w:pPr>
    <w:rPr>
      <w:b/>
      <w:smallCaps/>
      <w:sz w:val="28"/>
    </w:rPr>
  </w:style>
  <w:style w:type="paragraph" w:styleId="Closing">
    <w:name w:val="Closing"/>
    <w:basedOn w:val="Normal"/>
    <w:pPr>
      <w:ind w:left="4252"/>
    </w:pPr>
  </w:style>
  <w:style w:type="paragraph" w:styleId="CommentText">
    <w:name w:val="annotation text"/>
    <w:basedOn w:val="Normal"/>
    <w:semiHidden/>
    <w:rPr>
      <w:sz w:val="20"/>
    </w:rPr>
  </w:style>
  <w:style w:type="paragraph" w:styleId="Date">
    <w:name w:val="Date"/>
    <w:basedOn w:val="Normal"/>
    <w:next w:val="References"/>
    <w:pPr>
      <w:spacing w:after="0"/>
      <w:ind w:left="5103" w:right="-567"/>
      <w:jc w:val="left"/>
    </w:pPr>
  </w:style>
  <w:style w:type="paragraph" w:customStyle="1" w:styleId="References">
    <w:name w:val="References"/>
    <w:basedOn w:val="Normal"/>
    <w:next w:val="AddressTR"/>
    <w:uiPriority w:val="99"/>
    <w:pPr>
      <w:ind w:left="5103"/>
      <w:jc w:val="left"/>
    </w:pPr>
    <w:rPr>
      <w:sz w:val="20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DoubSign">
    <w:name w:val="DoubSign"/>
    <w:basedOn w:val="Normal"/>
    <w:next w:val="Enclosures"/>
    <w:pPr>
      <w:tabs>
        <w:tab w:val="left" w:pos="5103"/>
      </w:tabs>
      <w:spacing w:before="1200" w:after="0"/>
      <w:jc w:val="left"/>
    </w:pPr>
  </w:style>
  <w:style w:type="paragraph" w:customStyle="1" w:styleId="Enclosures">
    <w:name w:val="Enclosures"/>
    <w:basedOn w:val="Normal"/>
    <w:pPr>
      <w:keepNext/>
      <w:keepLines/>
      <w:tabs>
        <w:tab w:val="left" w:pos="5642"/>
      </w:tabs>
      <w:spacing w:before="480" w:after="0"/>
      <w:ind w:left="1191" w:hanging="1191"/>
      <w:jc w:val="left"/>
    </w:pPr>
  </w:style>
  <w:style w:type="paragraph" w:styleId="EndnoteText">
    <w:name w:val="endnote text"/>
    <w:basedOn w:val="Normal"/>
    <w:semiHidden/>
    <w:rPr>
      <w:sz w:val="20"/>
    </w:rPr>
  </w:style>
  <w:style w:type="paragraph" w:styleId="EnvelopeAddress">
    <w:name w:val="envelope address"/>
    <w:basedOn w:val="Normal"/>
    <w:pPr>
      <w:framePr w:w="7920" w:h="1980" w:hRule="exact" w:hSpace="180" w:wrap="auto" w:vAnchor="margin" w:hAnchor="page" w:xAlign="center" w:yAlign="bottom"/>
      <w:spacing w:after="0"/>
    </w:pPr>
  </w:style>
  <w:style w:type="paragraph" w:styleId="EnvelopeReturn">
    <w:name w:val="envelope return"/>
    <w:basedOn w:val="Normal"/>
    <w:pPr>
      <w:spacing w:after="0"/>
    </w:pPr>
    <w:rPr>
      <w:sz w:val="20"/>
    </w:rPr>
  </w:style>
  <w:style w:type="paragraph" w:styleId="Footer">
    <w:name w:val="footer"/>
    <w:basedOn w:val="Normal"/>
    <w:link w:val="FooterChar"/>
    <w:uiPriority w:val="99"/>
    <w:pPr>
      <w:spacing w:after="0"/>
      <w:ind w:right="-567"/>
      <w:jc w:val="left"/>
    </w:pPr>
    <w:rPr>
      <w:rFonts w:ascii="Arial" w:hAnsi="Arial"/>
      <w:sz w:val="16"/>
    </w:rPr>
  </w:style>
  <w:style w:type="paragraph" w:styleId="FootnoteText">
    <w:name w:val="footnote text"/>
    <w:basedOn w:val="Normal"/>
    <w:semiHidden/>
    <w:pPr>
      <w:ind w:left="357" w:hanging="357"/>
    </w:pPr>
    <w:rPr>
      <w:sz w:val="20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4A6135"/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  <w:rPr>
      <w:rFonts w:ascii="Arial" w:hAnsi="Arial"/>
      <w:b/>
    </w:rPr>
  </w:style>
  <w:style w:type="paragraph" w:styleId="List">
    <w:name w:val="List"/>
    <w:basedOn w:val="Normal"/>
    <w:pPr>
      <w:ind w:left="283" w:hanging="283"/>
    </w:pPr>
  </w:style>
  <w:style w:type="paragraph" w:styleId="List2">
    <w:name w:val="List 2"/>
    <w:basedOn w:val="Normal"/>
    <w:pPr>
      <w:ind w:left="566" w:hanging="283"/>
    </w:pPr>
  </w:style>
  <w:style w:type="paragraph" w:styleId="List3">
    <w:name w:val="List 3"/>
    <w:basedOn w:val="Normal"/>
    <w:pPr>
      <w:ind w:left="849" w:hanging="283"/>
    </w:pPr>
  </w:style>
  <w:style w:type="paragraph" w:styleId="List4">
    <w:name w:val="List 4"/>
    <w:basedOn w:val="Normal"/>
    <w:pPr>
      <w:ind w:left="1132" w:hanging="283"/>
    </w:pPr>
  </w:style>
  <w:style w:type="paragraph" w:styleId="List5">
    <w:name w:val="List 5"/>
    <w:basedOn w:val="Normal"/>
    <w:pPr>
      <w:ind w:left="1415" w:hanging="283"/>
    </w:pPr>
  </w:style>
  <w:style w:type="paragraph" w:styleId="ListBullet">
    <w:name w:val="List Bullet"/>
    <w:basedOn w:val="Normal"/>
    <w:pPr>
      <w:numPr>
        <w:ilvl w:val="0"/>
        <w:numId w:val="3"/>
      </w:numPr>
    </w:pPr>
  </w:style>
  <w:style w:type="paragraph" w:styleId="ListBullet2">
    <w:name w:val="List Bullet 2"/>
    <w:basedOn w:val="Text2"/>
    <w:pPr>
      <w:numPr>
        <w:ilvl w:val="0"/>
        <w:numId w:val="5"/>
      </w:numPr>
      <w:tabs>
        <w:tab w:val="clear" w:pos="2302"/>
      </w:tabs>
    </w:pPr>
  </w:style>
  <w:style w:type="paragraph" w:styleId="ListBullet3">
    <w:name w:val="List Bullet 3"/>
    <w:basedOn w:val="Text3"/>
    <w:pPr>
      <w:numPr>
        <w:ilvl w:val="0"/>
        <w:numId w:val="6"/>
      </w:numPr>
      <w:tabs>
        <w:tab w:val="clear" w:pos="2302"/>
      </w:tabs>
    </w:pPr>
  </w:style>
  <w:style w:type="paragraph" w:styleId="ListBullet4">
    <w:name w:val="List Bullet 4"/>
    <w:basedOn w:val="Text4"/>
    <w:pPr>
      <w:numPr>
        <w:ilvl w:val="0"/>
        <w:numId w:val="7"/>
      </w:numPr>
      <w:tabs>
        <w:tab w:val="clear" w:pos="2302"/>
      </w:tabs>
    </w:pPr>
  </w:style>
  <w:style w:type="paragraph" w:styleId="ListBullet5">
    <w:name w:val="List Bullet 5"/>
    <w:basedOn w:val="Normal"/>
    <w:autoRedefine/>
    <w:pPr>
      <w:numPr>
        <w:ilvl w:val="0"/>
        <w:numId w:val="1"/>
      </w:numPr>
    </w:pPr>
  </w:style>
  <w:style w:type="paragraph" w:styleId="ListContinue">
    <w:name w:val="List Continue"/>
    <w:basedOn w:val="Normal"/>
    <w:pPr>
      <w:spacing w:after="120"/>
      <w:ind w:left="283"/>
    </w:pPr>
  </w:style>
  <w:style w:type="paragraph" w:styleId="ListContinue2">
    <w:name w:val="List Continue 2"/>
    <w:basedOn w:val="Normal"/>
    <w:pPr>
      <w:spacing w:after="120"/>
      <w:ind w:left="566"/>
    </w:pPr>
  </w:style>
  <w:style w:type="paragraph" w:styleId="ListContinue3">
    <w:name w:val="List Continue 3"/>
    <w:basedOn w:val="Normal"/>
    <w:pPr>
      <w:spacing w:after="120"/>
      <w:ind w:left="849"/>
    </w:pPr>
  </w:style>
  <w:style w:type="paragraph" w:styleId="ListContinue4">
    <w:name w:val="List Continue 4"/>
    <w:basedOn w:val="Normal"/>
    <w:pPr>
      <w:spacing w:after="120"/>
      <w:ind w:left="1132"/>
    </w:pPr>
  </w:style>
  <w:style w:type="paragraph" w:styleId="ListContinue5">
    <w:name w:val="List Continue 5"/>
    <w:basedOn w:val="Normal"/>
    <w:pPr>
      <w:spacing w:after="120"/>
      <w:ind w:left="1415"/>
    </w:pPr>
  </w:style>
  <w:style w:type="paragraph" w:styleId="ListNumber">
    <w:name w:val="List Number"/>
    <w:basedOn w:val="Normal"/>
    <w:pPr>
      <w:numPr>
        <w:ilvl w:val="0"/>
        <w:numId w:val="13"/>
      </w:numPr>
    </w:pPr>
  </w:style>
  <w:style w:type="paragraph" w:styleId="ListNumber2">
    <w:name w:val="List Number 2"/>
    <w:basedOn w:val="Text2"/>
    <w:pPr>
      <w:numPr>
        <w:ilvl w:val="0"/>
        <w:numId w:val="15"/>
      </w:numPr>
      <w:tabs>
        <w:tab w:val="clear" w:pos="2302"/>
      </w:tabs>
    </w:pPr>
  </w:style>
  <w:style w:type="paragraph" w:styleId="ListNumber3">
    <w:name w:val="List Number 3"/>
    <w:basedOn w:val="Text3"/>
    <w:pPr>
      <w:numPr>
        <w:ilvl w:val="0"/>
        <w:numId w:val="16"/>
      </w:numPr>
      <w:tabs>
        <w:tab w:val="clear" w:pos="2302"/>
      </w:tabs>
    </w:pPr>
  </w:style>
  <w:style w:type="paragraph" w:styleId="ListNumber4">
    <w:name w:val="List Number 4"/>
    <w:basedOn w:val="Text4"/>
    <w:pPr>
      <w:numPr>
        <w:ilvl w:val="0"/>
        <w:numId w:val="17"/>
      </w:numPr>
      <w:tabs>
        <w:tab w:val="clear" w:pos="2302"/>
      </w:tabs>
    </w:pPr>
  </w:style>
  <w:style w:type="paragraph" w:styleId="ListNumber5">
    <w:name w:val="List Number 5"/>
    <w:basedOn w:val="Normal"/>
    <w:pPr>
      <w:numPr>
        <w:ilvl w:val="0"/>
        <w:numId w:val="2"/>
      </w:numPr>
    </w:pPr>
  </w:style>
  <w:style w:type="paragraph" w:styleId="Macro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40"/>
      <w:jc w:val="both"/>
    </w:pPr>
    <w:rPr>
      <w:rFonts w:ascii="Courier New" w:hAnsi="Courier New"/>
      <w:lang w:val="en-GB" w:eastAsia="en-US" w:bidi="ar-SA"/>
    </w:r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customStyle="1" w:styleId="NoteHead">
    <w:name w:val="NoteHead"/>
    <w:basedOn w:val="Normal"/>
    <w:next w:val="Subject"/>
    <w:pPr>
      <w:spacing w:before="720" w:after="720"/>
      <w:jc w:val="center"/>
    </w:pPr>
    <w:rPr>
      <w:b/>
      <w:smallCaps/>
    </w:rPr>
  </w:style>
  <w:style w:type="paragraph" w:customStyle="1" w:styleId="Subject">
    <w:name w:val="Subject"/>
    <w:basedOn w:val="Normal"/>
    <w:next w:val="Normal"/>
    <w:pPr>
      <w:spacing w:after="480"/>
      <w:ind w:left="1531" w:hanging="1531"/>
      <w:jc w:val="left"/>
    </w:pPr>
    <w:rPr>
      <w:b/>
    </w:rPr>
  </w:style>
  <w:style w:type="paragraph" w:customStyle="1" w:styleId="NoteList">
    <w:name w:val="NoteList"/>
    <w:basedOn w:val="Normal"/>
    <w:next w:val="Subject"/>
    <w:pPr>
      <w:tabs>
        <w:tab w:val="left" w:pos="5823"/>
      </w:tabs>
      <w:spacing w:before="720" w:after="720"/>
      <w:ind w:left="5104" w:hanging="3119"/>
      <w:jc w:val="left"/>
    </w:pPr>
    <w:rPr>
      <w:b/>
      <w:smallCaps/>
    </w:rPr>
  </w:style>
  <w:style w:type="paragraph" w:customStyle="1" w:styleId="NumPar1">
    <w:name w:val="NumPar 1"/>
    <w:basedOn w:val="Heading1"/>
    <w:next w:val="Text1"/>
    <w:pPr>
      <w:keepNext w:val="0"/>
      <w:spacing w:before="0"/>
      <w:outlineLvl w:val="9"/>
    </w:pPr>
    <w:rPr>
      <w:b w:val="0"/>
      <w:smallCaps w:val="0"/>
    </w:rPr>
  </w:style>
  <w:style w:type="paragraph" w:customStyle="1" w:styleId="NumPar2">
    <w:name w:val="NumPar 2"/>
    <w:basedOn w:val="Heading2"/>
    <w:next w:val="Text2"/>
    <w:pPr>
      <w:keepNext w:val="0"/>
      <w:outlineLvl w:val="9"/>
    </w:pPr>
    <w:rPr>
      <w:b w:val="0"/>
    </w:rPr>
  </w:style>
  <w:style w:type="paragraph" w:customStyle="1" w:styleId="NumPar3">
    <w:name w:val="NumPar 3"/>
    <w:basedOn w:val="Heading3"/>
    <w:next w:val="Text3"/>
    <w:pPr>
      <w:keepNext w:val="0"/>
      <w:outlineLvl w:val="9"/>
    </w:pPr>
    <w:rPr>
      <w:i/>
    </w:rPr>
  </w:style>
  <w:style w:type="paragraph" w:customStyle="1" w:styleId="NumPar4">
    <w:name w:val="NumPar 4"/>
    <w:basedOn w:val="Heading4"/>
    <w:next w:val="Text4"/>
    <w:pPr>
      <w:keepNext w:val="0"/>
      <w:outlineLvl w:val="9"/>
    </w:pPr>
  </w:style>
  <w:style w:type="paragraph" w:customStyle="1" w:styleId="PartTitle">
    <w:name w:val="PartTitle"/>
    <w:basedOn w:val="Normal"/>
    <w:next w:val="ChapterTitle"/>
    <w:pPr>
      <w:keepNext/>
      <w:pageBreakBefore/>
      <w:spacing w:after="480"/>
      <w:jc w:val="center"/>
    </w:pPr>
    <w:rPr>
      <w:b/>
      <w:sz w:val="36"/>
    </w:rPr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next w:val="Enclosures"/>
    <w:pPr>
      <w:tabs>
        <w:tab w:val="left" w:pos="5103"/>
      </w:tabs>
      <w:spacing w:before="1200" w:after="0"/>
      <w:ind w:left="5103"/>
      <w:jc w:val="center"/>
    </w:pPr>
  </w:style>
  <w:style w:type="paragraph" w:styleId="Subtitle">
    <w:name w:val="Subtitle"/>
    <w:basedOn w:val="Normal"/>
    <w:qFormat/>
    <w:pPr>
      <w:spacing w:after="60"/>
      <w:jc w:val="center"/>
      <w:outlineLvl w:val="1"/>
    </w:pPr>
    <w:rPr>
      <w:rFonts w:ascii="Arial" w:hAnsi="Arial"/>
    </w:rPr>
  </w:style>
  <w:style w:type="paragraph" w:customStyle="1" w:styleId="SubTitle1">
    <w:name w:val="SubTitle 1"/>
    <w:basedOn w:val="Normal"/>
    <w:next w:val="SubTitle2"/>
    <w:pPr>
      <w:jc w:val="center"/>
    </w:pPr>
    <w:rPr>
      <w:b/>
      <w:sz w:val="40"/>
    </w:rPr>
  </w:style>
  <w:style w:type="paragraph" w:customStyle="1" w:styleId="SubTitle2">
    <w:name w:val="SubTitle 2"/>
    <w:basedOn w:val="Normal"/>
    <w:pPr>
      <w:jc w:val="center"/>
    </w:pPr>
    <w:rPr>
      <w:b/>
      <w:sz w:val="32"/>
    </w:rPr>
  </w:style>
  <w:style w:type="paragraph" w:styleId="TableofAuthorities">
    <w:name w:val="table of authorities"/>
    <w:basedOn w:val="Normal"/>
    <w:next w:val="Normal"/>
    <w:semiHidden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pPr>
      <w:ind w:left="480" w:hanging="480"/>
    </w:pPr>
  </w:style>
  <w:style w:type="paragraph" w:styleId="Title">
    <w:name w:val="Title"/>
    <w:basedOn w:val="Normal"/>
    <w:next w:val="SubTitle1"/>
    <w:link w:val="TitleChar"/>
    <w:qFormat/>
    <w:pPr>
      <w:spacing w:after="480"/>
      <w:jc w:val="center"/>
    </w:pPr>
    <w:rPr>
      <w:b/>
      <w:kern w:val="28"/>
      <w:sz w:val="48"/>
    </w:rPr>
  </w:style>
  <w:style w:type="paragraph" w:styleId="TOAHeading">
    <w:name w:val="toa heading"/>
    <w:basedOn w:val="Normal"/>
    <w:next w:val="Normal"/>
    <w:semiHidden/>
    <w:pPr>
      <w:spacing w:before="120"/>
    </w:pPr>
    <w:rPr>
      <w:rFonts w:ascii="Arial" w:hAnsi="Arial"/>
      <w:b/>
    </w:rPr>
  </w:style>
  <w:style w:type="paragraph" w:styleId="TOC1">
    <w:name w:val="toc 1"/>
    <w:basedOn w:val="Normal"/>
    <w:next w:val="Normal"/>
    <w:uiPriority w:val="39"/>
    <w:qFormat/>
    <w:rsid w:val="00062C4F"/>
    <w:pPr>
      <w:tabs>
        <w:tab w:val="right" w:leader="dot" w:pos="10206"/>
      </w:tabs>
      <w:ind w:left="482" w:right="720" w:hanging="482"/>
    </w:pPr>
    <w:rPr>
      <w:caps/>
    </w:rPr>
  </w:style>
  <w:style w:type="paragraph" w:styleId="TOC2">
    <w:name w:val="toc 2"/>
    <w:basedOn w:val="Normal"/>
    <w:next w:val="Normal"/>
    <w:uiPriority w:val="39"/>
    <w:qFormat/>
    <w:rsid w:val="00681D22"/>
    <w:pPr>
      <w:tabs>
        <w:tab w:val="right" w:leader="dot" w:pos="10206"/>
      </w:tabs>
      <w:spacing w:before="60" w:after="60"/>
      <w:ind w:left="595" w:right="720" w:hanging="595"/>
    </w:pPr>
  </w:style>
  <w:style w:type="paragraph" w:styleId="TOC3">
    <w:name w:val="toc 3"/>
    <w:basedOn w:val="Normal"/>
    <w:next w:val="Normal"/>
    <w:uiPriority w:val="39"/>
    <w:qFormat/>
    <w:rsid w:val="00681D22"/>
    <w:pPr>
      <w:tabs>
        <w:tab w:val="right" w:leader="dot" w:pos="10206"/>
      </w:tabs>
      <w:spacing w:before="60" w:after="60"/>
      <w:ind w:left="839" w:right="720" w:hanging="839"/>
    </w:pPr>
  </w:style>
  <w:style w:type="paragraph" w:styleId="TOC4">
    <w:name w:val="toc 4"/>
    <w:basedOn w:val="Normal"/>
    <w:next w:val="Normal"/>
    <w:uiPriority w:val="39"/>
    <w:pPr>
      <w:tabs>
        <w:tab w:val="right" w:leader="dot" w:pos="8641"/>
      </w:tabs>
      <w:spacing w:before="60" w:after="60"/>
      <w:ind w:left="2880" w:right="720" w:hanging="964"/>
    </w:pPr>
  </w:style>
  <w:style w:type="paragraph" w:styleId="TOC5">
    <w:name w:val="toc 5"/>
    <w:basedOn w:val="Normal"/>
    <w:next w:val="Normal"/>
    <w:uiPriority w:val="39"/>
    <w:pPr>
      <w:tabs>
        <w:tab w:val="right" w:leader="dot" w:pos="8641"/>
      </w:tabs>
      <w:spacing w:before="240" w:after="120"/>
      <w:ind w:right="720"/>
    </w:pPr>
    <w:rPr>
      <w:caps/>
    </w:rPr>
  </w:style>
  <w:style w:type="paragraph" w:styleId="TOC6">
    <w:name w:val="toc 6"/>
    <w:basedOn w:val="Normal"/>
    <w:next w:val="Normal"/>
    <w:autoRedefine/>
    <w:uiPriority w:val="39"/>
    <w:pPr>
      <w:ind w:left="1200"/>
    </w:pPr>
  </w:style>
  <w:style w:type="paragraph" w:styleId="TOC7">
    <w:name w:val="toc 7"/>
    <w:basedOn w:val="Normal"/>
    <w:next w:val="Normal"/>
    <w:autoRedefine/>
    <w:uiPriority w:val="39"/>
    <w:pPr>
      <w:ind w:left="1440"/>
    </w:pPr>
  </w:style>
  <w:style w:type="paragraph" w:styleId="TOC8">
    <w:name w:val="toc 8"/>
    <w:basedOn w:val="Normal"/>
    <w:next w:val="Normal"/>
    <w:autoRedefine/>
    <w:uiPriority w:val="39"/>
    <w:pPr>
      <w:ind w:left="1680"/>
    </w:pPr>
  </w:style>
  <w:style w:type="paragraph" w:styleId="TOC9">
    <w:name w:val="toc 9"/>
    <w:basedOn w:val="Normal"/>
    <w:next w:val="Normal"/>
    <w:autoRedefine/>
    <w:uiPriority w:val="39"/>
    <w:pPr>
      <w:ind w:left="1920"/>
    </w:pPr>
  </w:style>
  <w:style w:type="paragraph" w:customStyle="1" w:styleId="YReferences">
    <w:name w:val="YReferences"/>
    <w:basedOn w:val="Normal"/>
    <w:next w:val="Normal"/>
    <w:pPr>
      <w:spacing w:after="480"/>
      <w:ind w:left="1531" w:hanging="1531"/>
    </w:pPr>
  </w:style>
  <w:style w:type="paragraph" w:customStyle="1" w:styleId="ListBullet1">
    <w:name w:val="List Bullet 1"/>
    <w:basedOn w:val="Text1"/>
    <w:pPr>
      <w:numPr>
        <w:ilvl w:val="0"/>
        <w:numId w:val="4"/>
      </w:numPr>
    </w:pPr>
  </w:style>
  <w:style w:type="paragraph" w:customStyle="1" w:styleId="ListDash">
    <w:name w:val="List Dash"/>
    <w:basedOn w:val="Normal"/>
    <w:pPr>
      <w:numPr>
        <w:ilvl w:val="0"/>
        <w:numId w:val="8"/>
      </w:numPr>
    </w:pPr>
  </w:style>
  <w:style w:type="paragraph" w:customStyle="1" w:styleId="ListDash1">
    <w:name w:val="List Dash 1"/>
    <w:basedOn w:val="Text1"/>
    <w:pPr>
      <w:numPr>
        <w:ilvl w:val="0"/>
        <w:numId w:val="9"/>
      </w:numPr>
    </w:pPr>
  </w:style>
  <w:style w:type="paragraph" w:customStyle="1" w:styleId="ListDash2">
    <w:name w:val="List Dash 2"/>
    <w:basedOn w:val="Text2"/>
    <w:pPr>
      <w:numPr>
        <w:ilvl w:val="0"/>
        <w:numId w:val="10"/>
      </w:numPr>
      <w:tabs>
        <w:tab w:val="clear" w:pos="2302"/>
      </w:tabs>
    </w:pPr>
  </w:style>
  <w:style w:type="paragraph" w:customStyle="1" w:styleId="ListDash3">
    <w:name w:val="List Dash 3"/>
    <w:basedOn w:val="Text3"/>
    <w:pPr>
      <w:numPr>
        <w:ilvl w:val="0"/>
        <w:numId w:val="11"/>
      </w:numPr>
      <w:tabs>
        <w:tab w:val="clear" w:pos="2302"/>
      </w:tabs>
    </w:pPr>
  </w:style>
  <w:style w:type="paragraph" w:customStyle="1" w:styleId="ListDash4">
    <w:name w:val="List Dash 4"/>
    <w:basedOn w:val="Text4"/>
    <w:pPr>
      <w:numPr>
        <w:ilvl w:val="0"/>
        <w:numId w:val="12"/>
      </w:numPr>
      <w:tabs>
        <w:tab w:val="clear" w:pos="2302"/>
      </w:tabs>
    </w:pPr>
  </w:style>
  <w:style w:type="paragraph" w:customStyle="1" w:styleId="ListNumberLevel2">
    <w:name w:val="List Number (Level 2)"/>
    <w:basedOn w:val="Normal"/>
    <w:pPr>
      <w:numPr>
        <w:ilvl w:val="1"/>
        <w:numId w:val="13"/>
      </w:numPr>
    </w:pPr>
  </w:style>
  <w:style w:type="paragraph" w:customStyle="1" w:styleId="ListNumberLevel3">
    <w:name w:val="List Number (Level 3)"/>
    <w:basedOn w:val="Normal"/>
    <w:pPr>
      <w:numPr>
        <w:ilvl w:val="2"/>
        <w:numId w:val="13"/>
      </w:numPr>
    </w:pPr>
  </w:style>
  <w:style w:type="paragraph" w:customStyle="1" w:styleId="ListNumberLevel4">
    <w:name w:val="List Number (Level 4)"/>
    <w:basedOn w:val="Normal"/>
    <w:pPr>
      <w:numPr>
        <w:ilvl w:val="3"/>
        <w:numId w:val="13"/>
      </w:numPr>
    </w:pPr>
  </w:style>
  <w:style w:type="paragraph" w:customStyle="1" w:styleId="ListNumber1">
    <w:name w:val="List Number 1"/>
    <w:basedOn w:val="Text1"/>
    <w:pPr>
      <w:numPr>
        <w:ilvl w:val="0"/>
        <w:numId w:val="14"/>
      </w:numPr>
    </w:pPr>
  </w:style>
  <w:style w:type="paragraph" w:customStyle="1" w:styleId="ListNumber1Level2">
    <w:name w:val="List Number 1 (Level 2)"/>
    <w:basedOn w:val="Text1"/>
    <w:pPr>
      <w:numPr>
        <w:ilvl w:val="1"/>
        <w:numId w:val="14"/>
      </w:numPr>
    </w:pPr>
  </w:style>
  <w:style w:type="paragraph" w:customStyle="1" w:styleId="ListNumber1Level3">
    <w:name w:val="List Number 1 (Level 3)"/>
    <w:basedOn w:val="Text1"/>
    <w:pPr>
      <w:numPr>
        <w:ilvl w:val="2"/>
        <w:numId w:val="14"/>
      </w:numPr>
    </w:pPr>
  </w:style>
  <w:style w:type="paragraph" w:customStyle="1" w:styleId="ListNumber1Level4">
    <w:name w:val="List Number 1 (Level 4)"/>
    <w:basedOn w:val="Text1"/>
    <w:pPr>
      <w:numPr>
        <w:ilvl w:val="3"/>
        <w:numId w:val="14"/>
      </w:numPr>
    </w:pPr>
  </w:style>
  <w:style w:type="paragraph" w:customStyle="1" w:styleId="ListNumber2Level2">
    <w:name w:val="List Number 2 (Level 2)"/>
    <w:basedOn w:val="Text2"/>
    <w:pPr>
      <w:numPr>
        <w:ilvl w:val="1"/>
        <w:numId w:val="15"/>
      </w:numPr>
      <w:tabs>
        <w:tab w:val="clear" w:pos="2302"/>
      </w:tabs>
    </w:pPr>
  </w:style>
  <w:style w:type="paragraph" w:customStyle="1" w:styleId="ListNumber2Level3">
    <w:name w:val="List Number 2 (Level 3)"/>
    <w:basedOn w:val="Text2"/>
    <w:pPr>
      <w:numPr>
        <w:ilvl w:val="2"/>
        <w:numId w:val="15"/>
      </w:numPr>
      <w:tabs>
        <w:tab w:val="clear" w:pos="2302"/>
      </w:tabs>
    </w:pPr>
  </w:style>
  <w:style w:type="paragraph" w:customStyle="1" w:styleId="ListNumber2Level4">
    <w:name w:val="List Number 2 (Level 4)"/>
    <w:basedOn w:val="Text2"/>
    <w:pPr>
      <w:numPr>
        <w:ilvl w:val="3"/>
        <w:numId w:val="15"/>
      </w:numPr>
      <w:tabs>
        <w:tab w:val="clear" w:pos="2302"/>
      </w:tabs>
    </w:pPr>
  </w:style>
  <w:style w:type="paragraph" w:customStyle="1" w:styleId="ListNumber3Level2">
    <w:name w:val="List Number 3 (Level 2)"/>
    <w:basedOn w:val="Text3"/>
    <w:pPr>
      <w:numPr>
        <w:ilvl w:val="1"/>
        <w:numId w:val="16"/>
      </w:numPr>
      <w:tabs>
        <w:tab w:val="clear" w:pos="2302"/>
      </w:tabs>
    </w:pPr>
  </w:style>
  <w:style w:type="paragraph" w:customStyle="1" w:styleId="ListNumber3Level3">
    <w:name w:val="List Number 3 (Level 3)"/>
    <w:basedOn w:val="Text3"/>
    <w:pPr>
      <w:numPr>
        <w:ilvl w:val="2"/>
        <w:numId w:val="16"/>
      </w:numPr>
      <w:tabs>
        <w:tab w:val="clear" w:pos="2302"/>
      </w:tabs>
    </w:pPr>
  </w:style>
  <w:style w:type="paragraph" w:customStyle="1" w:styleId="ListNumber3Level4">
    <w:name w:val="List Number 3 (Level 4)"/>
    <w:basedOn w:val="Text3"/>
    <w:pPr>
      <w:numPr>
        <w:ilvl w:val="3"/>
        <w:numId w:val="16"/>
      </w:numPr>
      <w:tabs>
        <w:tab w:val="clear" w:pos="2302"/>
      </w:tabs>
    </w:pPr>
  </w:style>
  <w:style w:type="paragraph" w:customStyle="1" w:styleId="ListNumber4Level2">
    <w:name w:val="List Number 4 (Level 2)"/>
    <w:basedOn w:val="Text4"/>
    <w:pPr>
      <w:numPr>
        <w:ilvl w:val="1"/>
        <w:numId w:val="17"/>
      </w:numPr>
      <w:tabs>
        <w:tab w:val="clear" w:pos="2302"/>
      </w:tabs>
    </w:pPr>
  </w:style>
  <w:style w:type="paragraph" w:customStyle="1" w:styleId="ListNumber4Level3">
    <w:name w:val="List Number 4 (Level 3)"/>
    <w:basedOn w:val="Text4"/>
    <w:pPr>
      <w:numPr>
        <w:ilvl w:val="2"/>
        <w:numId w:val="17"/>
      </w:numPr>
      <w:tabs>
        <w:tab w:val="clear" w:pos="2302"/>
      </w:tabs>
    </w:pPr>
  </w:style>
  <w:style w:type="paragraph" w:customStyle="1" w:styleId="ListNumber4Level4">
    <w:name w:val="List Number 4 (Level 4)"/>
    <w:basedOn w:val="Text4"/>
    <w:pPr>
      <w:numPr>
        <w:ilvl w:val="3"/>
        <w:numId w:val="17"/>
      </w:numPr>
      <w:tabs>
        <w:tab w:val="clear" w:pos="2302"/>
      </w:tabs>
    </w:pPr>
  </w:style>
  <w:style w:type="paragraph" w:styleId="TOCHeading">
    <w:name w:val="TOC Heading"/>
    <w:basedOn w:val="Normal"/>
    <w:next w:val="Normal"/>
    <w:uiPriority w:val="39"/>
    <w:qFormat/>
    <w:pPr>
      <w:keepNext/>
      <w:spacing w:before="240"/>
      <w:jc w:val="center"/>
    </w:pPr>
    <w:rPr>
      <w:b/>
    </w:rPr>
  </w:style>
  <w:style w:type="paragraph" w:customStyle="1" w:styleId="Contact">
    <w:name w:val="Contact"/>
    <w:basedOn w:val="Normal"/>
    <w:next w:val="Normal"/>
    <w:uiPriority w:val="99"/>
    <w:pPr>
      <w:spacing w:after="480"/>
      <w:ind w:left="567" w:hanging="567"/>
      <w:jc w:val="left"/>
    </w:pPr>
  </w:style>
  <w:style w:type="paragraph" w:customStyle="1" w:styleId="Designator">
    <w:name w:val="Designator"/>
    <w:basedOn w:val="Normal"/>
    <w:pPr>
      <w:spacing w:after="0"/>
      <w:jc w:val="center"/>
    </w:pPr>
    <w:rPr>
      <w:b/>
      <w:caps/>
      <w:sz w:val="32"/>
    </w:rPr>
  </w:style>
  <w:style w:type="paragraph" w:customStyle="1" w:styleId="Releasable">
    <w:name w:val="Releasable"/>
    <w:basedOn w:val="Normal"/>
    <w:qFormat/>
    <w:pPr>
      <w:spacing w:after="0"/>
      <w:jc w:val="center"/>
    </w:pPr>
    <w:rPr>
      <w:b/>
      <w:caps/>
      <w:sz w:val="32"/>
      <w:lang w:val="de-DE"/>
    </w:rPr>
  </w:style>
  <w:style w:type="paragraph" w:customStyle="1" w:styleId="RUE">
    <w:name w:val="RUE"/>
    <w:basedOn w:val="Normal"/>
    <w:pPr>
      <w:spacing w:after="0"/>
      <w:jc w:val="center"/>
    </w:pPr>
    <w:rPr>
      <w:b/>
      <w:caps/>
      <w:sz w:val="32"/>
      <w:bdr w:val="single" w:sz="18" w:space="0" w:color="auto"/>
      <w:lang w:val="de-DE"/>
    </w:rPr>
  </w:style>
  <w:style w:type="paragraph" w:customStyle="1" w:styleId="ConfidentialUE">
    <w:name w:val="Confidential UE"/>
    <w:basedOn w:val="Normal"/>
    <w:pPr>
      <w:spacing w:after="0"/>
      <w:jc w:val="center"/>
    </w:pPr>
    <w:rPr>
      <w:b/>
      <w:caps/>
      <w:sz w:val="32"/>
      <w:bdr w:val="single" w:sz="18" w:space="0" w:color="auto"/>
    </w:rPr>
  </w:style>
  <w:style w:type="paragraph" w:customStyle="1" w:styleId="SecretUE">
    <w:name w:val="Secret UE"/>
    <w:basedOn w:val="Normal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paragraph" w:customStyle="1" w:styleId="TrsSecretUE">
    <w:name w:val="Très Secret UE"/>
    <w:basedOn w:val="Normal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character" w:customStyle="1" w:styleId="FooterChar">
    <w:name w:val="Footer Char"/>
    <w:link w:val="Footer"/>
    <w:uiPriority w:val="99"/>
    <w:rsid w:val="00B538D8"/>
    <w:rPr>
      <w:rFonts w:ascii="Arial" w:hAnsi="Arial"/>
      <w:sz w:val="16"/>
      <w:lang w:eastAsia="en-US"/>
    </w:rPr>
  </w:style>
  <w:style w:type="paragraph" w:customStyle="1" w:styleId="ZCom">
    <w:name w:val="Z_Com"/>
    <w:basedOn w:val="Normal"/>
    <w:next w:val="ZDGName"/>
    <w:uiPriority w:val="99"/>
    <w:rsid w:val="00B538D8"/>
    <w:pPr>
      <w:widowControl w:val="0"/>
      <w:autoSpaceDE w:val="0"/>
      <w:autoSpaceDN w:val="0"/>
      <w:spacing w:after="0"/>
      <w:ind w:right="85"/>
    </w:pPr>
    <w:rPr>
      <w:rFonts w:ascii="Arial" w:hAnsi="Arial" w:cs="Arial"/>
      <w:szCs w:val="24"/>
      <w:lang w:eastAsia="en-GB"/>
    </w:rPr>
  </w:style>
  <w:style w:type="paragraph" w:customStyle="1" w:styleId="ZDGName">
    <w:name w:val="Z_DGName"/>
    <w:basedOn w:val="Normal"/>
    <w:uiPriority w:val="99"/>
    <w:rsid w:val="00B538D8"/>
    <w:pPr>
      <w:widowControl w:val="0"/>
      <w:autoSpaceDE w:val="0"/>
      <w:autoSpaceDN w:val="0"/>
      <w:spacing w:after="0"/>
      <w:ind w:right="85"/>
      <w:jc w:val="left"/>
    </w:pPr>
    <w:rPr>
      <w:rFonts w:ascii="Arial" w:hAnsi="Arial" w:cs="Arial"/>
      <w:sz w:val="16"/>
      <w:szCs w:val="16"/>
      <w:lang w:eastAsia="en-GB"/>
    </w:rPr>
  </w:style>
  <w:style w:type="character" w:customStyle="1" w:styleId="HeaderChar">
    <w:name w:val="Header Char"/>
    <w:link w:val="Header"/>
    <w:uiPriority w:val="99"/>
    <w:rsid w:val="00B538D8"/>
    <w:rPr>
      <w:sz w:val="24"/>
      <w:lang w:eastAsia="en-US"/>
    </w:rPr>
  </w:style>
  <w:style w:type="character" w:styleId="Hyperlink">
    <w:name w:val="Hyperlink"/>
    <w:uiPriority w:val="99"/>
    <w:unhideWhenUsed/>
    <w:rsid w:val="00BF61CA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F341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F341F"/>
    <w:rPr>
      <w:rFonts w:ascii="Tahoma" w:hAnsi="Tahoma" w:cs="Tahoma"/>
      <w:sz w:val="16"/>
      <w:szCs w:val="16"/>
      <w:lang w:eastAsia="en-US"/>
    </w:rPr>
  </w:style>
  <w:style w:type="character" w:customStyle="1" w:styleId="Heading4Char">
    <w:name w:val="Heading 4 Char"/>
    <w:link w:val="Heading4"/>
    <w:rsid w:val="00554619"/>
    <w:rPr>
      <w:i/>
      <w:color w:val="000000"/>
      <w:sz w:val="24"/>
      <w:lang w:val="fr-BE" w:eastAsia="en-US"/>
    </w:rPr>
  </w:style>
  <w:style w:type="paragraph" w:customStyle="1" w:styleId="FITTable">
    <w:name w:val="FIT Table"/>
    <w:basedOn w:val="Normal"/>
    <w:rsid w:val="00DB72E9"/>
    <w:pPr>
      <w:spacing w:before="60" w:after="60"/>
    </w:pPr>
    <w:rPr>
      <w:sz w:val="22"/>
    </w:rPr>
  </w:style>
  <w:style w:type="character" w:customStyle="1" w:styleId="TitleChar">
    <w:name w:val="Title Char"/>
    <w:link w:val="Title"/>
    <w:rsid w:val="00DB72E9"/>
    <w:rPr>
      <w:b/>
      <w:kern w:val="28"/>
      <w:sz w:val="48"/>
      <w:lang w:eastAsia="en-US"/>
    </w:rPr>
  </w:style>
  <w:style w:type="table" w:styleId="TableGrid">
    <w:name w:val="Table Grid"/>
    <w:basedOn w:val="TableNormal"/>
    <w:uiPriority w:val="59"/>
    <w:rsid w:val="00D638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uidelines">
    <w:name w:val="Guidelines"/>
    <w:basedOn w:val="Text2"/>
    <w:link w:val="GuidelinesChar"/>
    <w:rsid w:val="001207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0"/>
    </w:pPr>
    <w:rPr>
      <w:color w:val="4F81BD"/>
    </w:rPr>
  </w:style>
  <w:style w:type="character" w:customStyle="1" w:styleId="Text2Char">
    <w:name w:val="Text 2 Char"/>
    <w:link w:val="Text2"/>
    <w:rsid w:val="00120799"/>
    <w:rPr>
      <w:sz w:val="24"/>
      <w:lang w:eastAsia="en-US"/>
    </w:rPr>
  </w:style>
  <w:style w:type="character" w:customStyle="1" w:styleId="GuidelinesChar">
    <w:name w:val="Guidelines Char"/>
    <w:link w:val="Guidelines"/>
    <w:rsid w:val="00120799"/>
    <w:rPr>
      <w:color w:val="4F81BD"/>
      <w:sz w:val="24"/>
      <w:lang w:eastAsia="en-US"/>
    </w:rPr>
  </w:style>
  <w:style w:type="character" w:styleId="FootnoteReference">
    <w:name w:val="footnote reference"/>
    <w:uiPriority w:val="99"/>
    <w:semiHidden/>
    <w:unhideWhenUsed/>
    <w:rsid w:val="00D56D3F"/>
    <w:rPr>
      <w:vertAlign w:val="superscript"/>
    </w:rPr>
  </w:style>
  <w:style w:type="table" w:customStyle="1" w:styleId="TableGrid1">
    <w:name w:val="Table Grid1"/>
    <w:basedOn w:val="TableNormal"/>
    <w:next w:val="TableGrid"/>
    <w:rsid w:val="00990D9F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E272CB"/>
    <w:rPr>
      <w:b/>
      <w:sz w:val="24"/>
      <w:lang w:val="fr-BE" w:eastAsia="en-US"/>
    </w:rPr>
  </w:style>
  <w:style w:type="character" w:customStyle="1" w:styleId="Heading3Char">
    <w:name w:val="Heading 3 Char"/>
    <w:link w:val="Heading3"/>
    <w:rsid w:val="00F235A7"/>
    <w:rPr>
      <w:color w:val="000000"/>
      <w:sz w:val="24"/>
      <w:lang w:val="fr-BE" w:eastAsia="en-US"/>
    </w:rPr>
  </w:style>
  <w:style w:type="paragraph" w:styleId="ListParagraph">
    <w:name w:val="List Paragraph"/>
    <w:basedOn w:val="Normal"/>
    <w:uiPriority w:val="34"/>
    <w:qFormat/>
    <w:rsid w:val="00592E64"/>
    <w:pPr>
      <w:ind w:left="720"/>
      <w:contextualSpacing/>
    </w:pPr>
  </w:style>
  <w:style w:type="numbering" w:customStyle="1" w:styleId="Headings">
    <w:name w:val="Headings"/>
    <w:uiPriority w:val="99"/>
    <w:rsid w:val="00162E7B"/>
    <w:pPr>
      <w:numPr>
        <w:numId w:val="18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targetScreenSz w:val="1024x768"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numbering" Target="numbering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footer" Target="footer1.xml" /><Relationship Id="rId8" Type="http://schemas.openxmlformats.org/officeDocument/2006/relationships/header" Target="header1.xml" /><Relationship Id="rId9" Type="http://schemas.openxmlformats.org/officeDocument/2006/relationships/footer" Target="footer2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Public\Documents\Templates\REP.DOTM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5A5CCC-2329-4772-8C3A-1AB7F544E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REP.DOTM</Template>
  <TotalTime>1</TotalTime>
  <Pages>136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 of the RDP</vt:lpstr>
    </vt:vector>
  </TitlesOfParts>
  <Company>Member State Name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 of the RDP</dc:title>
  <dc:creator>Member State Authority</dc:creator>
  <cp:keywords>EL4</cp:keywords>
  <cp:lastModifiedBy>MATHIEU Serge (AGRI-EXT)</cp:lastModifiedBy>
  <cp:revision>2</cp:revision>
  <cp:lastPrinted>2013-05-31T11:39:00Z</cp:lastPrinted>
  <dcterms:created xsi:type="dcterms:W3CDTF">2016-04-11T12:06:00Z</dcterms:created>
  <dcterms:modified xsi:type="dcterms:W3CDTF">2016-04-11T12:06:00Z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/>
  </property>
  <property fmtid="{D5CDD505-2E9C-101B-9397-08002B2CF9AE}" pid="3" name="Contributor">
    <vt:lpwstr/>
  </property>
  <property fmtid="{D5CDD505-2E9C-101B-9397-08002B2CF9AE}" pid="4" name="Created using">
    <vt:lpwstr>EL 4.6 Build 21000</vt:lpwstr>
  </property>
  <property fmtid="{D5CDD505-2E9C-101B-9397-08002B2CF9AE}" pid="5" name="Creator">
    <vt:lpwstr/>
  </property>
  <property fmtid="{D5CDD505-2E9C-101B-9397-08002B2CF9AE}" pid="6" name="DateAlarm">
    <vt:lpwstr/>
  </property>
  <property fmtid="{D5CDD505-2E9C-101B-9397-08002B2CF9AE}" pid="7" name="DatePublication">
    <vt:lpwstr/>
  </property>
  <property fmtid="{D5CDD505-2E9C-101B-9397-08002B2CF9AE}" pid="8" name="Description">
    <vt:lpwstr/>
  </property>
  <property fmtid="{D5CDD505-2E9C-101B-9397-08002B2CF9AE}" pid="9" name="DocID_EU">
    <vt:lpwstr> </vt:lpwstr>
  </property>
  <property fmtid="{D5CDD505-2E9C-101B-9397-08002B2CF9AE}" pid="10" name="ELDocType">
    <vt:lpwstr>rep.dot</vt:lpwstr>
  </property>
  <property fmtid="{D5CDD505-2E9C-101B-9397-08002B2CF9AE}" pid="11" name="EL_Author">
    <vt:lpwstr>Vallet Marc (Everis)</vt:lpwstr>
  </property>
  <property fmtid="{D5CDD505-2E9C-101B-9397-08002B2CF9AE}" pid="12" name="EL_Language">
    <vt:lpwstr>EN</vt:lpwstr>
  </property>
  <property fmtid="{D5CDD505-2E9C-101B-9397-08002B2CF9AE}" pid="13" name="EurolookVersion">
    <vt:lpwstr>4.5</vt:lpwstr>
  </property>
  <property fmtid="{D5CDD505-2E9C-101B-9397-08002B2CF9AE}" pid="14" name="Formatting">
    <vt:lpwstr>4.1</vt:lpwstr>
  </property>
  <property fmtid="{D5CDD505-2E9C-101B-9397-08002B2CF9AE}" pid="15" name="Language">
    <vt:lpwstr>EN</vt:lpwstr>
  </property>
  <property fmtid="{D5CDD505-2E9C-101B-9397-08002B2CF9AE}" pid="16" name="Last edited using">
    <vt:lpwstr>EL 4.6 Build 34000</vt:lpwstr>
  </property>
  <property fmtid="{D5CDD505-2E9C-101B-9397-08002B2CF9AE}" pid="17" name="Publisher">
    <vt:lpwstr/>
  </property>
  <property fmtid="{D5CDD505-2E9C-101B-9397-08002B2CF9AE}" pid="18" name="Reference">
    <vt:lpwstr/>
  </property>
  <property fmtid="{D5CDD505-2E9C-101B-9397-08002B2CF9AE}" pid="19" name="Rights">
    <vt:lpwstr/>
  </property>
  <property fmtid="{D5CDD505-2E9C-101B-9397-08002B2CF9AE}" pid="20" name="TemplateVersion">
    <vt:lpwstr>4.5.0.2</vt:lpwstr>
  </property>
  <property fmtid="{D5CDD505-2E9C-101B-9397-08002B2CF9AE}" pid="21" name="Type">
    <vt:lpwstr>Eurolook Report</vt:lpwstr>
  </property>
</Properties>
</file>